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7075F" w14:textId="77777777" w:rsidR="00034909" w:rsidRPr="002670A5" w:rsidRDefault="003002BF" w:rsidP="002670A5">
      <w:pPr>
        <w:spacing w:after="0"/>
        <w:jc w:val="center"/>
        <w:rPr>
          <w:rFonts w:asciiTheme="majorHAnsi" w:hAnsiTheme="majorHAnsi" w:cstheme="majorHAnsi"/>
          <w:sz w:val="24"/>
          <w:szCs w:val="24"/>
        </w:rPr>
      </w:pPr>
      <w:r w:rsidRPr="002670A5">
        <w:rPr>
          <w:rFonts w:asciiTheme="majorHAnsi" w:hAnsiTheme="majorHAnsi" w:cstheme="majorHAnsi"/>
          <w:sz w:val="24"/>
          <w:szCs w:val="24"/>
        </w:rPr>
        <w:t>CENTRO ESTADUAL DE EDUCAÇÃO TECNOLÓGICA "PAULA SOUZA"</w:t>
      </w:r>
    </w:p>
    <w:p w14:paraId="78B280D4" w14:textId="77777777" w:rsidR="00034909" w:rsidRPr="002670A5" w:rsidRDefault="003002BF" w:rsidP="002670A5">
      <w:pPr>
        <w:spacing w:after="0"/>
        <w:jc w:val="center"/>
        <w:rPr>
          <w:rFonts w:asciiTheme="majorHAnsi" w:hAnsiTheme="majorHAnsi" w:cstheme="majorHAnsi"/>
          <w:sz w:val="24"/>
          <w:szCs w:val="24"/>
        </w:rPr>
      </w:pPr>
      <w:r w:rsidRPr="002670A5">
        <w:rPr>
          <w:rFonts w:asciiTheme="majorHAnsi" w:hAnsiTheme="majorHAnsi" w:cstheme="majorHAnsi"/>
          <w:sz w:val="24"/>
          <w:szCs w:val="24"/>
        </w:rPr>
        <w:t>ETEC PEDRO DE ARCADIA ΝΕΤΟ</w:t>
      </w:r>
    </w:p>
    <w:p w14:paraId="7305437E" w14:textId="349C6998" w:rsidR="00034909" w:rsidRDefault="003002BF" w:rsidP="002670A5">
      <w:pPr>
        <w:spacing w:after="0"/>
        <w:jc w:val="center"/>
        <w:rPr>
          <w:rFonts w:asciiTheme="majorHAnsi" w:hAnsiTheme="majorHAnsi" w:cstheme="majorHAnsi"/>
          <w:sz w:val="24"/>
          <w:szCs w:val="24"/>
        </w:rPr>
      </w:pPr>
      <w:r w:rsidRPr="002670A5">
        <w:rPr>
          <w:rFonts w:asciiTheme="majorHAnsi" w:hAnsiTheme="majorHAnsi" w:cstheme="majorHAnsi"/>
          <w:sz w:val="24"/>
          <w:szCs w:val="24"/>
        </w:rPr>
        <w:t>Curso Técnico de Enfermagem</w:t>
      </w:r>
    </w:p>
    <w:p w14:paraId="6F8BB7D2" w14:textId="77777777" w:rsidR="002670A5" w:rsidRDefault="002670A5" w:rsidP="002670A5">
      <w:pPr>
        <w:spacing w:after="0"/>
        <w:jc w:val="center"/>
        <w:rPr>
          <w:rFonts w:asciiTheme="majorHAnsi" w:hAnsiTheme="majorHAnsi" w:cstheme="majorHAnsi"/>
          <w:sz w:val="24"/>
          <w:szCs w:val="24"/>
        </w:rPr>
      </w:pPr>
    </w:p>
    <w:p w14:paraId="30D9F518" w14:textId="00BF597F" w:rsidR="002670A5" w:rsidRDefault="002670A5" w:rsidP="002670A5">
      <w:pPr>
        <w:spacing w:after="0"/>
        <w:jc w:val="center"/>
        <w:rPr>
          <w:rFonts w:asciiTheme="majorHAnsi" w:hAnsiTheme="majorHAnsi" w:cstheme="majorHAnsi"/>
          <w:sz w:val="24"/>
          <w:szCs w:val="24"/>
        </w:rPr>
      </w:pPr>
    </w:p>
    <w:p w14:paraId="47D916AE" w14:textId="6E47FE3B" w:rsidR="006E5BEE" w:rsidRDefault="006E5BEE" w:rsidP="002670A5">
      <w:pPr>
        <w:spacing w:after="0"/>
        <w:jc w:val="center"/>
        <w:rPr>
          <w:rFonts w:asciiTheme="majorHAnsi" w:hAnsiTheme="majorHAnsi" w:cstheme="majorHAnsi"/>
          <w:sz w:val="24"/>
          <w:szCs w:val="24"/>
        </w:rPr>
      </w:pPr>
    </w:p>
    <w:p w14:paraId="5AF10DC0" w14:textId="6CA96360" w:rsidR="006E5BEE" w:rsidRDefault="006E5BEE" w:rsidP="002670A5">
      <w:pPr>
        <w:spacing w:after="0"/>
        <w:jc w:val="center"/>
        <w:rPr>
          <w:rFonts w:asciiTheme="majorHAnsi" w:hAnsiTheme="majorHAnsi" w:cstheme="majorHAnsi"/>
          <w:sz w:val="24"/>
          <w:szCs w:val="24"/>
        </w:rPr>
      </w:pPr>
    </w:p>
    <w:p w14:paraId="69E79CB6" w14:textId="77777777" w:rsidR="006E5BEE" w:rsidRPr="002670A5" w:rsidRDefault="006E5BEE" w:rsidP="002670A5">
      <w:pPr>
        <w:spacing w:after="0"/>
        <w:jc w:val="center"/>
        <w:rPr>
          <w:rFonts w:asciiTheme="majorHAnsi" w:hAnsiTheme="majorHAnsi" w:cstheme="majorHAnsi"/>
          <w:sz w:val="24"/>
          <w:szCs w:val="24"/>
        </w:rPr>
      </w:pPr>
    </w:p>
    <w:p w14:paraId="53BA8A6D" w14:textId="77777777" w:rsidR="002670A5" w:rsidRDefault="003002BF" w:rsidP="00ED0DB4">
      <w:pPr>
        <w:jc w:val="center"/>
        <w:rPr>
          <w:rFonts w:asciiTheme="majorHAnsi" w:hAnsiTheme="majorHAnsi" w:cstheme="majorHAnsi"/>
          <w:sz w:val="24"/>
          <w:szCs w:val="24"/>
        </w:rPr>
      </w:pPr>
      <w:r w:rsidRPr="002670A5">
        <w:rPr>
          <w:rFonts w:asciiTheme="majorHAnsi" w:hAnsiTheme="majorHAnsi" w:cstheme="majorHAnsi"/>
          <w:sz w:val="24"/>
          <w:szCs w:val="24"/>
        </w:rPr>
        <w:br/>
      </w:r>
      <w:r w:rsidRPr="002670A5">
        <w:rPr>
          <w:rFonts w:asciiTheme="majorHAnsi" w:hAnsiTheme="majorHAnsi" w:cstheme="majorHAnsi"/>
          <w:b/>
          <w:sz w:val="24"/>
          <w:szCs w:val="24"/>
        </w:rPr>
        <w:t>DUPLA CHECAGEM NA ADMINISTRAÇÃO DE MEDICAMENTOS:</w:t>
      </w:r>
      <w:r w:rsidRPr="002670A5">
        <w:rPr>
          <w:rFonts w:asciiTheme="majorHAnsi" w:hAnsiTheme="majorHAnsi" w:cstheme="majorHAnsi"/>
          <w:sz w:val="24"/>
          <w:szCs w:val="24"/>
        </w:rPr>
        <w:t xml:space="preserve"> Uma Estratégia de Segurança do Paciente.</w:t>
      </w:r>
    </w:p>
    <w:p w14:paraId="342131D6" w14:textId="77777777" w:rsidR="002670A5" w:rsidRDefault="002670A5" w:rsidP="00ED0DB4">
      <w:pPr>
        <w:jc w:val="center"/>
        <w:rPr>
          <w:rFonts w:asciiTheme="majorHAnsi" w:hAnsiTheme="majorHAnsi" w:cstheme="majorHAnsi"/>
          <w:sz w:val="24"/>
          <w:szCs w:val="24"/>
        </w:rPr>
      </w:pPr>
    </w:p>
    <w:p w14:paraId="1A58C1AA" w14:textId="06415BB0" w:rsidR="002F6504" w:rsidRPr="002670A5" w:rsidRDefault="003002BF" w:rsidP="002670A5">
      <w:pPr>
        <w:spacing w:after="0"/>
        <w:jc w:val="right"/>
        <w:rPr>
          <w:rFonts w:asciiTheme="majorHAnsi" w:hAnsiTheme="majorHAnsi" w:cstheme="majorHAnsi"/>
          <w:sz w:val="24"/>
          <w:szCs w:val="24"/>
        </w:rPr>
      </w:pPr>
      <w:r w:rsidRPr="002670A5">
        <w:rPr>
          <w:rFonts w:asciiTheme="majorHAnsi" w:hAnsiTheme="majorHAnsi" w:cstheme="majorHAnsi"/>
          <w:bCs/>
          <w:sz w:val="24"/>
          <w:szCs w:val="24"/>
        </w:rPr>
        <w:t>AMORIM</w:t>
      </w:r>
      <w:r w:rsidRPr="002670A5">
        <w:rPr>
          <w:rFonts w:asciiTheme="majorHAnsi" w:hAnsiTheme="majorHAnsi" w:cstheme="majorHAnsi"/>
          <w:sz w:val="24"/>
          <w:szCs w:val="24"/>
        </w:rPr>
        <w:t>, Jacqueline Betânia</w:t>
      </w:r>
    </w:p>
    <w:p w14:paraId="5D86BA6E" w14:textId="5232FE9A" w:rsidR="00034909" w:rsidRPr="002670A5" w:rsidRDefault="003002BF" w:rsidP="002670A5">
      <w:pPr>
        <w:spacing w:after="0"/>
        <w:jc w:val="right"/>
        <w:rPr>
          <w:rFonts w:asciiTheme="majorHAnsi" w:hAnsiTheme="majorHAnsi" w:cstheme="majorHAnsi"/>
          <w:sz w:val="24"/>
          <w:szCs w:val="24"/>
        </w:rPr>
      </w:pPr>
      <w:r w:rsidRPr="002670A5">
        <w:rPr>
          <w:rFonts w:asciiTheme="majorHAnsi" w:hAnsiTheme="majorHAnsi" w:cstheme="majorHAnsi"/>
          <w:bCs/>
          <w:sz w:val="24"/>
          <w:szCs w:val="24"/>
        </w:rPr>
        <w:t>BENEDU</w:t>
      </w:r>
      <w:r w:rsidR="00063C39" w:rsidRPr="002670A5">
        <w:rPr>
          <w:rFonts w:asciiTheme="majorHAnsi" w:hAnsiTheme="majorHAnsi" w:cstheme="majorHAnsi"/>
          <w:bCs/>
          <w:sz w:val="24"/>
          <w:szCs w:val="24"/>
        </w:rPr>
        <w:t>S</w:t>
      </w:r>
      <w:r w:rsidRPr="002670A5">
        <w:rPr>
          <w:rFonts w:asciiTheme="majorHAnsi" w:hAnsiTheme="majorHAnsi" w:cstheme="majorHAnsi"/>
          <w:bCs/>
          <w:sz w:val="24"/>
          <w:szCs w:val="24"/>
        </w:rPr>
        <w:t>E</w:t>
      </w:r>
      <w:r w:rsidRPr="002670A5">
        <w:rPr>
          <w:rFonts w:asciiTheme="majorHAnsi" w:hAnsiTheme="majorHAnsi" w:cstheme="majorHAnsi"/>
          <w:sz w:val="24"/>
          <w:szCs w:val="24"/>
        </w:rPr>
        <w:t>, Pedro Henrique</w:t>
      </w:r>
    </w:p>
    <w:p w14:paraId="5744B7AD" w14:textId="0195EDEC" w:rsidR="002F6504" w:rsidRPr="002670A5" w:rsidRDefault="003002BF" w:rsidP="002670A5">
      <w:pPr>
        <w:spacing w:after="0"/>
        <w:jc w:val="right"/>
        <w:rPr>
          <w:rFonts w:asciiTheme="majorHAnsi" w:hAnsiTheme="majorHAnsi" w:cstheme="majorHAnsi"/>
          <w:sz w:val="24"/>
          <w:szCs w:val="24"/>
        </w:rPr>
      </w:pPr>
      <w:r w:rsidRPr="002670A5">
        <w:rPr>
          <w:rFonts w:asciiTheme="majorHAnsi" w:hAnsiTheme="majorHAnsi" w:cstheme="majorHAnsi"/>
          <w:bCs/>
          <w:sz w:val="24"/>
          <w:szCs w:val="24"/>
        </w:rPr>
        <w:t>GARCIA</w:t>
      </w:r>
      <w:r w:rsidRPr="002670A5">
        <w:rPr>
          <w:rFonts w:asciiTheme="majorHAnsi" w:hAnsiTheme="majorHAnsi" w:cstheme="majorHAnsi"/>
          <w:sz w:val="24"/>
          <w:szCs w:val="24"/>
        </w:rPr>
        <w:t xml:space="preserve">, Lucas Joaquim de Oliveira </w:t>
      </w:r>
    </w:p>
    <w:p w14:paraId="0384850B" w14:textId="3FA23C98" w:rsidR="002F6504" w:rsidRPr="002670A5" w:rsidRDefault="003002BF" w:rsidP="002670A5">
      <w:pPr>
        <w:spacing w:after="0"/>
        <w:jc w:val="right"/>
        <w:rPr>
          <w:rFonts w:asciiTheme="majorHAnsi" w:hAnsiTheme="majorHAnsi" w:cstheme="majorHAnsi"/>
          <w:sz w:val="24"/>
          <w:szCs w:val="24"/>
        </w:rPr>
      </w:pPr>
      <w:r w:rsidRPr="002670A5">
        <w:rPr>
          <w:rFonts w:asciiTheme="majorHAnsi" w:hAnsiTheme="majorHAnsi" w:cstheme="majorHAnsi"/>
          <w:bCs/>
          <w:sz w:val="24"/>
          <w:szCs w:val="24"/>
        </w:rPr>
        <w:t>SILVA</w:t>
      </w:r>
      <w:r w:rsidRPr="002670A5">
        <w:rPr>
          <w:rFonts w:asciiTheme="majorHAnsi" w:hAnsiTheme="majorHAnsi" w:cstheme="majorHAnsi"/>
          <w:sz w:val="24"/>
          <w:szCs w:val="24"/>
        </w:rPr>
        <w:t>, Andressa Santana da</w:t>
      </w:r>
      <w:r w:rsidR="002F6504" w:rsidRPr="002670A5">
        <w:rPr>
          <w:rFonts w:asciiTheme="majorHAnsi" w:hAnsiTheme="majorHAnsi" w:cstheme="majorHAnsi"/>
          <w:sz w:val="24"/>
          <w:szCs w:val="24"/>
        </w:rPr>
        <w:t xml:space="preserve"> </w:t>
      </w:r>
    </w:p>
    <w:p w14:paraId="14AB00E7" w14:textId="4356F5D1" w:rsidR="00034909" w:rsidRPr="002670A5" w:rsidRDefault="003002BF" w:rsidP="002670A5">
      <w:pPr>
        <w:spacing w:after="0"/>
        <w:jc w:val="right"/>
        <w:rPr>
          <w:rFonts w:asciiTheme="majorHAnsi" w:hAnsiTheme="majorHAnsi" w:cstheme="majorHAnsi"/>
          <w:sz w:val="24"/>
          <w:szCs w:val="24"/>
        </w:rPr>
      </w:pPr>
      <w:r w:rsidRPr="002670A5">
        <w:rPr>
          <w:rFonts w:asciiTheme="majorHAnsi" w:hAnsiTheme="majorHAnsi" w:cstheme="majorHAnsi"/>
          <w:bCs/>
          <w:sz w:val="24"/>
          <w:szCs w:val="24"/>
        </w:rPr>
        <w:t>VIEL</w:t>
      </w:r>
      <w:r w:rsidRPr="002670A5">
        <w:rPr>
          <w:rFonts w:asciiTheme="majorHAnsi" w:hAnsiTheme="majorHAnsi" w:cstheme="majorHAnsi"/>
          <w:sz w:val="24"/>
          <w:szCs w:val="24"/>
        </w:rPr>
        <w:t>, Larissa</w:t>
      </w:r>
      <w:r w:rsidR="002F6504" w:rsidRPr="002670A5">
        <w:rPr>
          <w:rFonts w:asciiTheme="majorHAnsi" w:hAnsiTheme="majorHAnsi" w:cstheme="majorHAnsi"/>
          <w:sz w:val="24"/>
          <w:szCs w:val="24"/>
        </w:rPr>
        <w:t xml:space="preserve"> </w:t>
      </w:r>
    </w:p>
    <w:p w14:paraId="43D675F7" w14:textId="7C4136FA" w:rsidR="00163B2D" w:rsidRPr="002670A5" w:rsidRDefault="003002BF" w:rsidP="002670A5">
      <w:pPr>
        <w:spacing w:after="0"/>
        <w:jc w:val="right"/>
        <w:rPr>
          <w:rFonts w:asciiTheme="majorHAnsi" w:hAnsiTheme="majorHAnsi" w:cstheme="majorHAnsi"/>
          <w:bCs/>
          <w:sz w:val="24"/>
          <w:szCs w:val="24"/>
        </w:rPr>
      </w:pPr>
      <w:r w:rsidRPr="002670A5">
        <w:rPr>
          <w:rFonts w:asciiTheme="majorHAnsi" w:hAnsiTheme="majorHAnsi" w:cstheme="majorHAnsi"/>
          <w:sz w:val="24"/>
          <w:szCs w:val="24"/>
        </w:rPr>
        <w:t>MARIN</w:t>
      </w:r>
      <w:r w:rsidRPr="002670A5">
        <w:rPr>
          <w:rFonts w:asciiTheme="majorHAnsi" w:hAnsiTheme="majorHAnsi" w:cstheme="majorHAnsi"/>
          <w:bCs/>
          <w:sz w:val="24"/>
          <w:szCs w:val="24"/>
        </w:rPr>
        <w:t>, Fernando</w:t>
      </w:r>
      <w:r w:rsidR="002B6DC4" w:rsidRPr="002670A5">
        <w:rPr>
          <w:rFonts w:asciiTheme="majorHAnsi" w:hAnsiTheme="majorHAnsi" w:cstheme="majorHAnsi"/>
          <w:bCs/>
          <w:sz w:val="24"/>
          <w:szCs w:val="24"/>
        </w:rPr>
        <w:t xml:space="preserve"> </w:t>
      </w:r>
    </w:p>
    <w:p w14:paraId="713495F7" w14:textId="305BCF7A" w:rsidR="00B35E09" w:rsidRPr="002670A5" w:rsidRDefault="00B35E09" w:rsidP="002670A5">
      <w:pPr>
        <w:spacing w:after="0"/>
        <w:jc w:val="right"/>
        <w:rPr>
          <w:rFonts w:asciiTheme="majorHAnsi" w:hAnsiTheme="majorHAnsi" w:cstheme="majorHAnsi"/>
          <w:bCs/>
          <w:sz w:val="24"/>
          <w:szCs w:val="24"/>
        </w:rPr>
      </w:pPr>
    </w:p>
    <w:p w14:paraId="28729E3A" w14:textId="77777777" w:rsidR="006E5BEE" w:rsidRDefault="006E5BEE" w:rsidP="00ED0DB4">
      <w:pPr>
        <w:jc w:val="both"/>
        <w:rPr>
          <w:rFonts w:asciiTheme="majorHAnsi" w:hAnsiTheme="majorHAnsi" w:cstheme="majorHAnsi"/>
          <w:b/>
          <w:sz w:val="24"/>
          <w:szCs w:val="24"/>
        </w:rPr>
      </w:pPr>
    </w:p>
    <w:p w14:paraId="665C953D" w14:textId="77777777" w:rsidR="006E5BEE" w:rsidRDefault="006E5BEE" w:rsidP="00ED0DB4">
      <w:pPr>
        <w:jc w:val="both"/>
        <w:rPr>
          <w:rFonts w:asciiTheme="majorHAnsi" w:hAnsiTheme="majorHAnsi" w:cstheme="majorHAnsi"/>
          <w:b/>
          <w:sz w:val="24"/>
          <w:szCs w:val="24"/>
        </w:rPr>
      </w:pPr>
    </w:p>
    <w:p w14:paraId="7E3E7733" w14:textId="502CEBBD" w:rsidR="00034909" w:rsidRPr="002670A5" w:rsidRDefault="003002BF" w:rsidP="00ED0DB4">
      <w:pPr>
        <w:jc w:val="both"/>
        <w:rPr>
          <w:rFonts w:asciiTheme="majorHAnsi" w:hAnsiTheme="majorHAnsi" w:cstheme="majorHAnsi"/>
          <w:b/>
          <w:sz w:val="24"/>
          <w:szCs w:val="24"/>
        </w:rPr>
      </w:pPr>
      <w:bookmarkStart w:id="0" w:name="_GoBack"/>
      <w:bookmarkEnd w:id="0"/>
      <w:r w:rsidRPr="002670A5">
        <w:rPr>
          <w:rFonts w:asciiTheme="majorHAnsi" w:hAnsiTheme="majorHAnsi" w:cstheme="majorHAnsi"/>
          <w:b/>
          <w:sz w:val="24"/>
          <w:szCs w:val="24"/>
        </w:rPr>
        <w:t>RESUMO</w:t>
      </w:r>
    </w:p>
    <w:p w14:paraId="33CEA209" w14:textId="21988DEA" w:rsidR="00060A26" w:rsidRPr="002670A5" w:rsidRDefault="001B4CC4" w:rsidP="001B4CC4">
      <w:pPr>
        <w:spacing w:after="0" w:line="360" w:lineRule="atLeast"/>
        <w:jc w:val="both"/>
        <w:rPr>
          <w:rFonts w:asciiTheme="majorHAnsi" w:hAnsiTheme="majorHAnsi" w:cstheme="majorHAnsi"/>
        </w:rPr>
      </w:pPr>
      <w:r w:rsidRPr="002670A5">
        <w:rPr>
          <w:rFonts w:asciiTheme="majorHAnsi" w:eastAsia="Times New Roman" w:hAnsiTheme="majorHAnsi" w:cstheme="majorHAnsi"/>
          <w:color w:val="000000"/>
          <w:sz w:val="24"/>
          <w:szCs w:val="24"/>
          <w:lang w:eastAsia="pt-BR"/>
        </w:rPr>
        <w:t xml:space="preserve">A segurança do paciente é um pilar essencial da qualidade nos serviços de saúde, com foco na prevenção de eventos adversos.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administração de medicamentos é uma das etapas mais críticas do cuidado, e a dupla checagem se destaca como uma estratégia fundamental para evitar falhas. Essa prática consiste na conferência independente realizada por dois profissionais habilitados, que verificam se se cumprem os princípios básicos: paciente, medicamento, dose, via e horário corretos, permitindo identificar e </w:t>
      </w:r>
      <w:r w:rsidRPr="002670A5">
        <w:rPr>
          <w:rFonts w:asciiTheme="majorHAnsi" w:eastAsia="Times New Roman" w:hAnsiTheme="majorHAnsi" w:cstheme="majorHAnsi"/>
          <w:color w:val="000000"/>
          <w:sz w:val="24"/>
          <w:szCs w:val="24"/>
          <w:lang w:eastAsia="pt-BR"/>
        </w:rPr>
        <w:lastRenderedPageBreak/>
        <w:t xml:space="preserve">corrigir problemas antes que atinjam o paciente. Os erros de medicação têm causas múltiplas, como falhas de processo, má comunicação, sobrecarga de trabalho e questões organizacionais.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aplicação da dupla checagem funciona como uma barreira de segurança, alinhando-se à Teoria do Queijo Suíço, que defende que várias camadas de proteção reduzem a chance de danos ao paciente. Além de proteger o usuário do sistema, essa medida também resguarda os profissionais de enfermagem do ponto de vista ético e jurídico, ao atender às normas do COFEN que exigem cuidado sem negligência ou imperícia. Ela é especialmente relevante no uso de Medicamentos de Alta Vigilância, nos quais erros podem levar a consequências graves ou até fatais. Para ser eficaz, a dupla checagem deve estar inserida em fluxos organizados, apoiada por uma cultura de segurança e reforçada por educação continuada. Dessa forma, torna-se um elemento indispensável para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excelência no atendimento, ajudando a construir um sistema de saúde mais seguro, preparado e centrado no ser humano.</w:t>
      </w:r>
    </w:p>
    <w:p w14:paraId="07B8DCC1" w14:textId="11E497D0" w:rsidR="00813618" w:rsidRPr="002670A5" w:rsidRDefault="00813618" w:rsidP="00ED0DB4">
      <w:pPr>
        <w:pStyle w:val="NormalWeb"/>
        <w:jc w:val="both"/>
        <w:rPr>
          <w:rFonts w:asciiTheme="majorHAnsi" w:hAnsiTheme="majorHAnsi" w:cstheme="majorHAnsi"/>
        </w:rPr>
      </w:pPr>
      <w:r w:rsidRPr="002670A5">
        <w:rPr>
          <w:rFonts w:asciiTheme="majorHAnsi" w:hAnsiTheme="majorHAnsi" w:cstheme="majorHAnsi"/>
          <w:bCs/>
        </w:rPr>
        <w:t>Palavras-chave:</w:t>
      </w:r>
      <w:r w:rsidRPr="002670A5">
        <w:rPr>
          <w:rFonts w:asciiTheme="majorHAnsi" w:hAnsiTheme="majorHAnsi" w:cstheme="majorHAnsi"/>
        </w:rPr>
        <w:t xml:space="preserve"> Segurança do Paciente. Cuidados de Enfermagem. Erros de Medicação. Dupla </w:t>
      </w:r>
      <w:r w:rsidR="00060A26" w:rsidRPr="002670A5">
        <w:rPr>
          <w:rFonts w:asciiTheme="majorHAnsi" w:hAnsiTheme="majorHAnsi" w:cstheme="majorHAnsi"/>
        </w:rPr>
        <w:t>C</w:t>
      </w:r>
      <w:r w:rsidRPr="002670A5">
        <w:rPr>
          <w:rFonts w:asciiTheme="majorHAnsi" w:hAnsiTheme="majorHAnsi" w:cstheme="majorHAnsi"/>
        </w:rPr>
        <w:t>hecagem. Gestão de Risco Hospitalar.</w:t>
      </w:r>
    </w:p>
    <w:p w14:paraId="729211FD" w14:textId="77777777" w:rsidR="00034909" w:rsidRPr="002670A5" w:rsidRDefault="003002BF" w:rsidP="00ED0DB4">
      <w:pPr>
        <w:jc w:val="both"/>
        <w:rPr>
          <w:rFonts w:asciiTheme="majorHAnsi" w:hAnsiTheme="majorHAnsi" w:cstheme="majorHAnsi"/>
          <w:b/>
          <w:sz w:val="24"/>
          <w:szCs w:val="24"/>
        </w:rPr>
      </w:pPr>
      <w:r w:rsidRPr="002670A5">
        <w:rPr>
          <w:rFonts w:asciiTheme="majorHAnsi" w:hAnsiTheme="majorHAnsi" w:cstheme="majorHAnsi"/>
          <w:sz w:val="24"/>
          <w:szCs w:val="24"/>
        </w:rPr>
        <w:br/>
      </w:r>
      <w:r w:rsidRPr="002670A5">
        <w:rPr>
          <w:rFonts w:asciiTheme="majorHAnsi" w:hAnsiTheme="majorHAnsi" w:cstheme="majorHAnsi"/>
          <w:b/>
          <w:sz w:val="24"/>
          <w:szCs w:val="24"/>
        </w:rPr>
        <w:t>1. INTRODUÇÃO</w:t>
      </w:r>
    </w:p>
    <w:p w14:paraId="68C911F1" w14:textId="77777777" w:rsidR="00813618" w:rsidRPr="002670A5" w:rsidRDefault="00813618" w:rsidP="00ED0DB4">
      <w:pPr>
        <w:pStyle w:val="NormalWeb"/>
        <w:jc w:val="both"/>
        <w:rPr>
          <w:rFonts w:asciiTheme="majorHAnsi" w:hAnsiTheme="majorHAnsi" w:cstheme="majorHAnsi"/>
        </w:rPr>
      </w:pPr>
      <w:r w:rsidRPr="002670A5">
        <w:rPr>
          <w:rStyle w:val="text-block-with-attachment"/>
          <w:rFonts w:asciiTheme="majorHAnsi" w:hAnsiTheme="majorHAnsi" w:cstheme="majorHAnsi"/>
        </w:rPr>
        <w:t xml:space="preserve">A segurança do paciente consolidou-se, nas últimas décadas, como um dos eixos centrais da qualidade em saúde e um desafio ético para os profissionais da linha de frente. O ambiente hospitalar, embora essencial para a cura, é inerentemente de alto risco devido à densidade tecnológica e à falibilidade humana. Relatórios históricos, como o </w:t>
      </w:r>
      <w:r w:rsidRPr="002670A5">
        <w:rPr>
          <w:rStyle w:val="text-block-with-attachment"/>
          <w:rFonts w:asciiTheme="majorHAnsi" w:hAnsiTheme="majorHAnsi" w:cstheme="majorHAnsi"/>
          <w:i/>
          <w:iCs/>
        </w:rPr>
        <w:t>To Err is Human</w:t>
      </w:r>
      <w:r w:rsidRPr="002670A5">
        <w:rPr>
          <w:rStyle w:val="text-block-with-attachment"/>
          <w:rFonts w:asciiTheme="majorHAnsi" w:hAnsiTheme="majorHAnsi" w:cstheme="majorHAnsi"/>
        </w:rPr>
        <w:t xml:space="preserve"> (Errar é Humano) publicado pelo </w:t>
      </w:r>
      <w:r w:rsidRPr="002670A5">
        <w:rPr>
          <w:rStyle w:val="text-block-with-attachment"/>
          <w:rFonts w:asciiTheme="majorHAnsi" w:hAnsiTheme="majorHAnsi" w:cstheme="majorHAnsi"/>
          <w:i/>
          <w:iCs/>
        </w:rPr>
        <w:t>Institute of Medicine</w:t>
      </w:r>
      <w:r w:rsidRPr="002670A5">
        <w:rPr>
          <w:rStyle w:val="text-block-with-attachment"/>
          <w:rFonts w:asciiTheme="majorHAnsi" w:hAnsiTheme="majorHAnsi" w:cstheme="majorHAnsi"/>
        </w:rPr>
        <w:t xml:space="preserve"> (IOM) em 2000, indicam que erros de saúde causam mais mortes anuais do que acidentes de trânsito ou câncer de mama em alguns países, impulsionando uma reforma global nas práticas assistenciais. No Brasil, o Programa Nacional de Segurança do Paciente (PNSP), instituído em 2013, reforça que a assistência deve ser segura, oportuna e centrada no paciente. No centro dessa discussão, a administração de medicamentos destaca-se como um processo crítico, onde falhas não são eventos isolados, mas consequências de sistemas frágeis. Segundo a "Teoria do Queijo Suíço" de Reason (2000), os erros ocorrem quando múltiplas camadas de defesa apresentam falhas latentes que se alinham, permitindo que o perigo atinja o paciente, o que exige das instituições o investimento em barreiras sistêmicas resilientes em vez da culpabilização individual.</w:t>
      </w:r>
    </w:p>
    <w:p w14:paraId="04C22E49" w14:textId="7C28AF45" w:rsidR="00813618" w:rsidRPr="002670A5" w:rsidRDefault="00813618" w:rsidP="00ED0DB4">
      <w:pPr>
        <w:pStyle w:val="NormalWeb"/>
        <w:jc w:val="both"/>
        <w:rPr>
          <w:rFonts w:asciiTheme="majorHAnsi" w:hAnsiTheme="majorHAnsi" w:cstheme="majorHAnsi"/>
        </w:rPr>
      </w:pPr>
      <w:r w:rsidRPr="002670A5">
        <w:rPr>
          <w:rFonts w:asciiTheme="majorHAnsi" w:hAnsiTheme="majorHAnsi" w:cstheme="majorHAnsi"/>
        </w:rPr>
        <w:t xml:space="preserve">Nesse contexto, a administração de fármacos configura-se como a etapa final de uma cadeia complexa que envolve prescrição, transcrição e dispensação. Como última barreira antes do medicamento atingir o sistema biológico do paciente, a enfermagem detém uma responsabilidade significativa na detecção de falhas prévias. O erro de medicação é um fenômeno multicausal, catalisado por fatores como iluminação </w:t>
      </w:r>
      <w:r w:rsidRPr="002670A5">
        <w:rPr>
          <w:rFonts w:asciiTheme="majorHAnsi" w:hAnsiTheme="majorHAnsi" w:cstheme="majorHAnsi"/>
        </w:rPr>
        <w:lastRenderedPageBreak/>
        <w:t xml:space="preserve">inadequada, interrupções frequentes durante o preparo, fadiga profissional e a semelhança visual entre embalagens (conhecidos como LASA - </w:t>
      </w:r>
      <w:r w:rsidRPr="002670A5">
        <w:rPr>
          <w:rFonts w:asciiTheme="majorHAnsi" w:hAnsiTheme="majorHAnsi" w:cstheme="majorHAnsi"/>
          <w:i/>
          <w:iCs/>
        </w:rPr>
        <w:t>Look-Alike,</w:t>
      </w:r>
      <w:r w:rsidR="00C40014" w:rsidRPr="002670A5">
        <w:rPr>
          <w:rFonts w:asciiTheme="majorHAnsi" w:hAnsiTheme="majorHAnsi" w:cstheme="majorHAnsi"/>
          <w:i/>
          <w:iCs/>
        </w:rPr>
        <w:t xml:space="preserve"> </w:t>
      </w:r>
      <w:r w:rsidRPr="002670A5">
        <w:rPr>
          <w:rFonts w:asciiTheme="majorHAnsi" w:hAnsiTheme="majorHAnsi" w:cstheme="majorHAnsi"/>
          <w:i/>
          <w:iCs/>
        </w:rPr>
        <w:t>Sound-Alike</w:t>
      </w:r>
      <w:r w:rsidRPr="002670A5">
        <w:rPr>
          <w:rFonts w:asciiTheme="majorHAnsi" w:hAnsiTheme="majorHAnsi" w:cstheme="majorHAnsi"/>
        </w:rPr>
        <w:t>). A diversidade de terapias e a introdução constante de novos fármacos de alta vigilância (MAV) aumentam a probabilidade de falhas, tornando o uso de protocolos rígidos fundamental. Contudo, a eficácia de tais medidas depende da adesão da equipe e de um dimensionamento adequado de pessoal, uma vez que a sobrecarga de trabalho é inversamente proporcional à segurança do cuidado.</w:t>
      </w:r>
    </w:p>
    <w:p w14:paraId="287650EE" w14:textId="77777777" w:rsidR="00813618" w:rsidRPr="002670A5" w:rsidRDefault="00813618" w:rsidP="00ED0DB4">
      <w:pPr>
        <w:pStyle w:val="NormalWeb"/>
        <w:jc w:val="both"/>
        <w:rPr>
          <w:rFonts w:asciiTheme="majorHAnsi" w:hAnsiTheme="majorHAnsi" w:cstheme="majorHAnsi"/>
        </w:rPr>
      </w:pPr>
      <w:r w:rsidRPr="002670A5">
        <w:rPr>
          <w:rFonts w:asciiTheme="majorHAnsi" w:hAnsiTheme="majorHAnsi" w:cstheme="majorHAnsi"/>
        </w:rPr>
        <w:t>Diante de tais vulnerabilidades, a dupla checagem (</w:t>
      </w:r>
      <w:r w:rsidRPr="002670A5">
        <w:rPr>
          <w:rFonts w:asciiTheme="majorHAnsi" w:hAnsiTheme="majorHAnsi" w:cstheme="majorHAnsi"/>
          <w:i/>
          <w:iCs/>
        </w:rPr>
        <w:t>double-check</w:t>
      </w:r>
      <w:r w:rsidRPr="002670A5">
        <w:rPr>
          <w:rFonts w:asciiTheme="majorHAnsi" w:hAnsiTheme="majorHAnsi" w:cstheme="majorHAnsi"/>
        </w:rPr>
        <w:t>) emerge como uma das estratégias de barreira mais eficazes, consistindo na verificação independente de um item por dois profissionais qualificados para garantir que o viés de confirmação de um seja corrigido pelo outro. Esta prática deve ser vista como um suporte colaborativo que fortalece a cultura de segurança organizacional, e não como desconfiança entre pares. A implementação rigor</w:t>
      </w:r>
      <w:r w:rsidR="00376E13" w:rsidRPr="002670A5">
        <w:rPr>
          <w:rFonts w:asciiTheme="majorHAnsi" w:hAnsiTheme="majorHAnsi" w:cstheme="majorHAnsi"/>
        </w:rPr>
        <w:t xml:space="preserve">osa dos "certos" da medicação </w:t>
      </w:r>
      <w:r w:rsidRPr="002670A5">
        <w:rPr>
          <w:rFonts w:asciiTheme="majorHAnsi" w:hAnsiTheme="majorHAnsi" w:cstheme="majorHAnsi"/>
        </w:rPr>
        <w:t xml:space="preserve">que evoluíram do conceito clássico de 5 </w:t>
      </w:r>
      <w:r w:rsidR="00376E13" w:rsidRPr="002670A5">
        <w:rPr>
          <w:rFonts w:asciiTheme="majorHAnsi" w:hAnsiTheme="majorHAnsi" w:cstheme="majorHAnsi"/>
        </w:rPr>
        <w:t xml:space="preserve">para até 9 itens verificáveis </w:t>
      </w:r>
      <w:r w:rsidRPr="002670A5">
        <w:rPr>
          <w:rFonts w:asciiTheme="majorHAnsi" w:hAnsiTheme="majorHAnsi" w:cstheme="majorHAnsi"/>
        </w:rPr>
        <w:t>reduz drasticamente a probabilidade de erros de dosagem e via de administração.</w:t>
      </w:r>
    </w:p>
    <w:p w14:paraId="442A001B" w14:textId="51109506"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enfermagem, por manter presença contínua e ininterrupta ao lado do paciente durante as 24 horas do dia, assume um papel central de vigilância e monitoramento permanente do cuidado. No entanto,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eficácia de estratégias de segurança consolidadas, como a dupla checagem, frequentemente é comprometida por características culturais enraizadas nos serviços de saúde, marcadas pelo medo e pela subnotificação de erros. Conforme o </w:t>
      </w:r>
      <w:r w:rsidRPr="002670A5">
        <w:rPr>
          <w:rFonts w:asciiTheme="majorHAnsi" w:eastAsia="Times New Roman" w:hAnsiTheme="majorHAnsi" w:cstheme="majorHAnsi"/>
          <w:bCs/>
          <w:color w:val="000000"/>
          <w:sz w:val="24"/>
          <w:szCs w:val="24"/>
          <w:lang w:eastAsia="pt-BR"/>
        </w:rPr>
        <w:t>Institute of Medicine (IOM, 2000)</w:t>
      </w:r>
      <w:r w:rsidRPr="002670A5">
        <w:rPr>
          <w:rFonts w:asciiTheme="majorHAnsi" w:eastAsia="Times New Roman" w:hAnsiTheme="majorHAnsi" w:cstheme="majorHAnsi"/>
          <w:color w:val="000000"/>
          <w:sz w:val="24"/>
          <w:szCs w:val="24"/>
          <w:lang w:eastAsia="pt-BR"/>
        </w:rPr>
        <w:t xml:space="preserve">, a cultura do medo e a postura punitiva impedem que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instituição aprenda com as falhas, perpetuando riscos e fragilidades no sistema. Para </w:t>
      </w:r>
      <w:r w:rsidRPr="002670A5">
        <w:rPr>
          <w:rFonts w:asciiTheme="majorHAnsi" w:eastAsia="Times New Roman" w:hAnsiTheme="majorHAnsi" w:cstheme="majorHAnsi"/>
          <w:bCs/>
          <w:color w:val="000000"/>
          <w:sz w:val="24"/>
          <w:szCs w:val="24"/>
          <w:lang w:eastAsia="pt-BR"/>
        </w:rPr>
        <w:t>Reason (</w:t>
      </w:r>
      <w:r w:rsidR="002D2B59" w:rsidRPr="002670A5">
        <w:rPr>
          <w:rFonts w:asciiTheme="majorHAnsi" w:eastAsia="Times New Roman" w:hAnsiTheme="majorHAnsi" w:cstheme="majorHAnsi"/>
          <w:bCs/>
          <w:color w:val="000000"/>
          <w:sz w:val="24"/>
          <w:szCs w:val="24"/>
          <w:lang w:eastAsia="pt-BR"/>
        </w:rPr>
        <w:t>2000</w:t>
      </w:r>
      <w:r w:rsidRPr="002670A5">
        <w:rPr>
          <w:rFonts w:asciiTheme="majorHAnsi" w:eastAsia="Times New Roman" w:hAnsiTheme="majorHAnsi" w:cstheme="majorHAnsi"/>
          <w:bCs/>
          <w:color w:val="000000"/>
          <w:sz w:val="24"/>
          <w:szCs w:val="24"/>
          <w:lang w:eastAsia="pt-BR"/>
        </w:rPr>
        <w:t>)</w:t>
      </w:r>
      <w:r w:rsidRPr="002670A5">
        <w:rPr>
          <w:rFonts w:asciiTheme="majorHAnsi" w:eastAsia="Times New Roman" w:hAnsiTheme="majorHAnsi" w:cstheme="majorHAnsi"/>
          <w:color w:val="000000"/>
          <w:sz w:val="24"/>
          <w:szCs w:val="24"/>
          <w:lang w:eastAsia="pt-BR"/>
        </w:rPr>
        <w:t>, esse cenário evidencia a necessidade urgente de transição para uma "cultura justa", modelo no qual os erros são compreendidos como indicadores de processos que necessitam de ajustes, e não apenas como falhas individuais puníveis.</w:t>
      </w:r>
    </w:p>
    <w:p w14:paraId="1A52ECC5" w14:textId="77777777"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color w:val="000000"/>
          <w:sz w:val="24"/>
          <w:szCs w:val="24"/>
          <w:lang w:eastAsia="pt-BR"/>
        </w:rPr>
        <w:t>Nesse contexto, a gestão hospitalar tem a responsabilidade estratégica de promover essa mudança, estabelecendo um ambiente onde a notificação seja estimulada e a segurança seja construída coletivamente. A compreensão aprofundada da importância da dupla checagem, aliada à educação continuada e ao suporte institucional, é elemento fundamental para garantir uma assistência de excelência e minimizar riscos (</w:t>
      </w:r>
      <w:r w:rsidRPr="002670A5">
        <w:rPr>
          <w:rFonts w:asciiTheme="majorHAnsi" w:eastAsia="Times New Roman" w:hAnsiTheme="majorHAnsi" w:cstheme="majorHAnsi"/>
          <w:bCs/>
          <w:color w:val="000000"/>
          <w:sz w:val="24"/>
          <w:szCs w:val="24"/>
          <w:lang w:eastAsia="pt-BR"/>
        </w:rPr>
        <w:t>COFEN, 2023</w:t>
      </w:r>
      <w:r w:rsidRPr="002670A5">
        <w:rPr>
          <w:rFonts w:asciiTheme="majorHAnsi" w:eastAsia="Times New Roman" w:hAnsiTheme="majorHAnsi" w:cstheme="majorHAnsi"/>
          <w:color w:val="000000"/>
          <w:sz w:val="24"/>
          <w:szCs w:val="24"/>
          <w:lang w:eastAsia="pt-BR"/>
        </w:rPr>
        <w:t xml:space="preserve">). Conforme alerta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w:t>
      </w:r>
      <w:r w:rsidRPr="002670A5">
        <w:rPr>
          <w:rFonts w:asciiTheme="majorHAnsi" w:eastAsia="Times New Roman" w:hAnsiTheme="majorHAnsi" w:cstheme="majorHAnsi"/>
          <w:bCs/>
          <w:color w:val="000000"/>
          <w:sz w:val="24"/>
          <w:szCs w:val="24"/>
          <w:lang w:eastAsia="pt-BR"/>
        </w:rPr>
        <w:t>Organização Mundial da Saúde (OMS, 2005)</w:t>
      </w:r>
      <w:r w:rsidRPr="002670A5">
        <w:rPr>
          <w:rFonts w:asciiTheme="majorHAnsi" w:eastAsia="Times New Roman" w:hAnsiTheme="majorHAnsi" w:cstheme="majorHAnsi"/>
          <w:color w:val="000000"/>
          <w:sz w:val="24"/>
          <w:szCs w:val="24"/>
          <w:lang w:eastAsia="pt-BR"/>
        </w:rPr>
        <w:t>, a segurança do paciente deve ser compreendida como um direito fundamental e uma prioridade global, sendo a implementação de barreiras seguras uma exigência ética e técnica.</w:t>
      </w:r>
    </w:p>
    <w:p w14:paraId="7A51F6B0" w14:textId="77777777"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color w:val="000000"/>
          <w:sz w:val="24"/>
          <w:szCs w:val="24"/>
          <w:lang w:eastAsia="pt-BR"/>
        </w:rPr>
        <w:t xml:space="preserve">Este estudo justifica-se, portanto, pela necessidade de analisar como a prática da dupla checagem pode ser otimizada no cotidiano da enfermagem, visando prevenir danos </w:t>
      </w:r>
      <w:r w:rsidRPr="002670A5">
        <w:rPr>
          <w:rFonts w:asciiTheme="majorHAnsi" w:eastAsia="Times New Roman" w:hAnsiTheme="majorHAnsi" w:cstheme="majorHAnsi"/>
          <w:color w:val="000000"/>
          <w:sz w:val="24"/>
          <w:szCs w:val="24"/>
          <w:lang w:eastAsia="pt-BR"/>
        </w:rPr>
        <w:lastRenderedPageBreak/>
        <w:t xml:space="preserve">evitáveis e assegurar o cumprimento do direito constitucional do paciente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um atendimento seguro e qualificado. O presente trabalho propõe uma análise aprofundada sobre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aplicação da dupla checagem na administração de medicamentos, fundamentando seus objetivos nos seguintes pilares:</w:t>
      </w:r>
    </w:p>
    <w:p w14:paraId="3571B5D3" w14:textId="77777777" w:rsidR="003300D7" w:rsidRPr="002670A5" w:rsidRDefault="003300D7" w:rsidP="003300D7">
      <w:pPr>
        <w:pStyle w:val="PargrafodaLista"/>
        <w:numPr>
          <w:ilvl w:val="0"/>
          <w:numId w:val="25"/>
        </w:num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Analisar a eficácia da implementação da estratégia de dupla checagem (</w:t>
      </w:r>
      <w:r w:rsidRPr="002670A5">
        <w:rPr>
          <w:rFonts w:asciiTheme="majorHAnsi" w:eastAsia="Times New Roman" w:hAnsiTheme="majorHAnsi" w:cstheme="majorHAnsi"/>
          <w:bCs/>
          <w:i/>
          <w:iCs/>
          <w:color w:val="000000"/>
          <w:sz w:val="24"/>
          <w:szCs w:val="24"/>
          <w:lang w:eastAsia="pt-BR"/>
        </w:rPr>
        <w:t>double-check</w:t>
      </w:r>
      <w:r w:rsidRPr="002670A5">
        <w:rPr>
          <w:rFonts w:asciiTheme="majorHAnsi" w:eastAsia="Times New Roman" w:hAnsiTheme="majorHAnsi" w:cstheme="majorHAnsi"/>
          <w:bCs/>
          <w:color w:val="000000"/>
          <w:sz w:val="24"/>
          <w:szCs w:val="24"/>
          <w:lang w:eastAsia="pt-BR"/>
        </w:rPr>
        <w:t>) como barreira de segurança</w:t>
      </w:r>
      <w:r w:rsidRPr="002670A5">
        <w:rPr>
          <w:rFonts w:asciiTheme="majorHAnsi" w:eastAsia="Times New Roman" w:hAnsiTheme="majorHAnsi" w:cstheme="majorHAnsi"/>
          <w:color w:val="000000"/>
          <w:sz w:val="24"/>
          <w:szCs w:val="24"/>
          <w:lang w:eastAsia="pt-BR"/>
        </w:rPr>
        <w:t xml:space="preserve"> no processo de administração de medicamentos pela equipe de enfermagem, visando interceptar falhas humanas e sistêmicas antes que atinjam o estágio final do cuidado. Para </w:t>
      </w:r>
      <w:r w:rsidRPr="002670A5">
        <w:rPr>
          <w:rFonts w:asciiTheme="majorHAnsi" w:eastAsia="Times New Roman" w:hAnsiTheme="majorHAnsi" w:cstheme="majorHAnsi"/>
          <w:bCs/>
          <w:color w:val="000000"/>
          <w:sz w:val="24"/>
          <w:szCs w:val="24"/>
          <w:lang w:eastAsia="pt-BR"/>
        </w:rPr>
        <w:t>Reason (1990)</w:t>
      </w:r>
      <w:r w:rsidRPr="002670A5">
        <w:rPr>
          <w:rFonts w:asciiTheme="majorHAnsi" w:eastAsia="Times New Roman" w:hAnsiTheme="majorHAnsi" w:cstheme="majorHAnsi"/>
          <w:color w:val="000000"/>
          <w:sz w:val="24"/>
          <w:szCs w:val="24"/>
          <w:lang w:eastAsia="pt-BR"/>
        </w:rPr>
        <w:t xml:space="preserv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ocorrência de acidentes é resultado do alinhamento de múltiplas falhas latentes no sistema; desse modo, a dupla checagem atua como uma camada de defesa essencial para romper essa sequência de riscos.</w:t>
      </w:r>
    </w:p>
    <w:p w14:paraId="66592B1A" w14:textId="77777777" w:rsidR="003300D7" w:rsidRPr="002670A5" w:rsidRDefault="003300D7" w:rsidP="003300D7">
      <w:pPr>
        <w:pStyle w:val="PargrafodaLista"/>
        <w:numPr>
          <w:ilvl w:val="0"/>
          <w:numId w:val="25"/>
        </w:num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Avaliar a precisão da dupla checagem na identificação de erros de medicação e na redução da multicausalidade de eventos adversos</w:t>
      </w:r>
      <w:r w:rsidRPr="002670A5">
        <w:rPr>
          <w:rFonts w:asciiTheme="majorHAnsi" w:eastAsia="Times New Roman" w:hAnsiTheme="majorHAnsi" w:cstheme="majorHAnsi"/>
          <w:color w:val="000000"/>
          <w:sz w:val="24"/>
          <w:szCs w:val="24"/>
          <w:lang w:eastAsia="pt-BR"/>
        </w:rPr>
        <w:t xml:space="preserve">. Tal medida se alinha às recomendações do </w:t>
      </w:r>
      <w:r w:rsidRPr="002670A5">
        <w:rPr>
          <w:rFonts w:asciiTheme="majorHAnsi" w:eastAsia="Times New Roman" w:hAnsiTheme="majorHAnsi" w:cstheme="majorHAnsi"/>
          <w:bCs/>
          <w:color w:val="000000"/>
          <w:sz w:val="24"/>
          <w:szCs w:val="24"/>
          <w:lang w:eastAsia="pt-BR"/>
        </w:rPr>
        <w:t>ISMP Brasil (2023)</w:t>
      </w:r>
      <w:r w:rsidRPr="002670A5">
        <w:rPr>
          <w:rFonts w:asciiTheme="majorHAnsi" w:eastAsia="Times New Roman" w:hAnsiTheme="majorHAnsi" w:cstheme="majorHAnsi"/>
          <w:color w:val="000000"/>
          <w:sz w:val="24"/>
          <w:szCs w:val="24"/>
          <w:lang w:eastAsia="pt-BR"/>
        </w:rPr>
        <w:t>, que aponta a verificação cruzada como uma das práticas mais eficazes para a detecção de equívocos, especialmente em etapas críticas do processo farmacoterapêutico.</w:t>
      </w:r>
    </w:p>
    <w:p w14:paraId="05D78148" w14:textId="77777777" w:rsidR="003300D7" w:rsidRPr="002670A5" w:rsidRDefault="003300D7" w:rsidP="003300D7">
      <w:pPr>
        <w:pStyle w:val="PargrafodaLista"/>
        <w:numPr>
          <w:ilvl w:val="0"/>
          <w:numId w:val="25"/>
        </w:num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Discutir as implicações éticas e a segurança jurídica do profissional de enfermagem frente à adesão estrita aos protocolos institucionais</w:t>
      </w:r>
      <w:r w:rsidRPr="002670A5">
        <w:rPr>
          <w:rFonts w:asciiTheme="majorHAnsi" w:eastAsia="Times New Roman" w:hAnsiTheme="majorHAnsi" w:cstheme="majorHAnsi"/>
          <w:color w:val="000000"/>
          <w:sz w:val="24"/>
          <w:szCs w:val="24"/>
          <w:lang w:eastAsia="pt-BR"/>
        </w:rPr>
        <w:t xml:space="preserve">. O </w:t>
      </w:r>
      <w:r w:rsidRPr="002670A5">
        <w:rPr>
          <w:rFonts w:asciiTheme="majorHAnsi" w:eastAsia="Times New Roman" w:hAnsiTheme="majorHAnsi" w:cstheme="majorHAnsi"/>
          <w:bCs/>
          <w:color w:val="000000"/>
          <w:sz w:val="24"/>
          <w:szCs w:val="24"/>
          <w:lang w:eastAsia="pt-BR"/>
        </w:rPr>
        <w:t>Conselho Federal de Enfermagem (COFEN, 2023)</w:t>
      </w:r>
      <w:r w:rsidRPr="002670A5">
        <w:rPr>
          <w:rFonts w:asciiTheme="majorHAnsi" w:eastAsia="Times New Roman" w:hAnsiTheme="majorHAnsi" w:cstheme="majorHAnsi"/>
          <w:color w:val="000000"/>
          <w:sz w:val="24"/>
          <w:szCs w:val="24"/>
          <w:lang w:eastAsia="pt-BR"/>
        </w:rPr>
        <w:t xml:space="preserve"> reforça que o cumprimento rigoroso desses procedimentos não é apenas uma exigência técnica, </w:t>
      </w:r>
      <w:proofErr w:type="gramStart"/>
      <w:r w:rsidRPr="002670A5">
        <w:rPr>
          <w:rFonts w:asciiTheme="majorHAnsi" w:eastAsia="Times New Roman" w:hAnsiTheme="majorHAnsi" w:cstheme="majorHAnsi"/>
          <w:color w:val="000000"/>
          <w:sz w:val="24"/>
          <w:szCs w:val="24"/>
          <w:lang w:eastAsia="pt-BR"/>
        </w:rPr>
        <w:t>mas</w:t>
      </w:r>
      <w:proofErr w:type="gramEnd"/>
      <w:r w:rsidRPr="002670A5">
        <w:rPr>
          <w:rFonts w:asciiTheme="majorHAnsi" w:eastAsia="Times New Roman" w:hAnsiTheme="majorHAnsi" w:cstheme="majorHAnsi"/>
          <w:color w:val="000000"/>
          <w:sz w:val="24"/>
          <w:szCs w:val="24"/>
          <w:lang w:eastAsia="pt-BR"/>
        </w:rPr>
        <w:t xml:space="preserve"> um dever ético e legal, indispensável para a proteção do paciente e do próprio exercício profissional.</w:t>
      </w:r>
    </w:p>
    <w:p w14:paraId="361E5184" w14:textId="4473023E" w:rsidR="003300D7" w:rsidRPr="002670A5" w:rsidRDefault="003300D7" w:rsidP="00ED0DB4">
      <w:pPr>
        <w:pStyle w:val="PargrafodaLista"/>
        <w:numPr>
          <w:ilvl w:val="0"/>
          <w:numId w:val="25"/>
        </w:numPr>
        <w:spacing w:after="0" w:line="360" w:lineRule="atLeast"/>
        <w:jc w:val="both"/>
        <w:rPr>
          <w:rFonts w:asciiTheme="majorHAnsi" w:hAnsiTheme="majorHAnsi" w:cstheme="majorHAnsi"/>
        </w:rPr>
      </w:pPr>
      <w:r w:rsidRPr="002670A5">
        <w:rPr>
          <w:rFonts w:asciiTheme="majorHAnsi" w:eastAsia="Times New Roman" w:hAnsiTheme="majorHAnsi" w:cstheme="majorHAnsi"/>
          <w:bCs/>
          <w:color w:val="000000"/>
          <w:sz w:val="24"/>
          <w:szCs w:val="24"/>
          <w:lang w:eastAsia="pt-BR"/>
        </w:rPr>
        <w:t xml:space="preserve">Identificar as barreiras organizacionais que dificultam </w:t>
      </w:r>
      <w:proofErr w:type="gramStart"/>
      <w:r w:rsidRPr="002670A5">
        <w:rPr>
          <w:rFonts w:asciiTheme="majorHAnsi" w:eastAsia="Times New Roman" w:hAnsiTheme="majorHAnsi" w:cstheme="majorHAnsi"/>
          <w:bCs/>
          <w:color w:val="000000"/>
          <w:sz w:val="24"/>
          <w:szCs w:val="24"/>
          <w:lang w:eastAsia="pt-BR"/>
        </w:rPr>
        <w:t>a</w:t>
      </w:r>
      <w:proofErr w:type="gramEnd"/>
      <w:r w:rsidRPr="002670A5">
        <w:rPr>
          <w:rFonts w:asciiTheme="majorHAnsi" w:eastAsia="Times New Roman" w:hAnsiTheme="majorHAnsi" w:cstheme="majorHAnsi"/>
          <w:bCs/>
          <w:color w:val="000000"/>
          <w:sz w:val="24"/>
          <w:szCs w:val="24"/>
          <w:lang w:eastAsia="pt-BR"/>
        </w:rPr>
        <w:t xml:space="preserve"> execução da dupla checagem, propondo estratégias de otimização</w:t>
      </w:r>
      <w:r w:rsidRPr="002670A5">
        <w:rPr>
          <w:rFonts w:asciiTheme="majorHAnsi" w:eastAsia="Times New Roman" w:hAnsiTheme="majorHAnsi" w:cstheme="majorHAnsi"/>
          <w:color w:val="000000"/>
          <w:sz w:val="24"/>
          <w:szCs w:val="24"/>
          <w:lang w:eastAsia="pt-BR"/>
        </w:rPr>
        <w:t xml:space="preserve">, com destaque para o manejo de Medicamentos de Alta Vigilância (MAV). Conforme orienta o </w:t>
      </w:r>
      <w:r w:rsidRPr="002670A5">
        <w:rPr>
          <w:rFonts w:asciiTheme="majorHAnsi" w:eastAsia="Times New Roman" w:hAnsiTheme="majorHAnsi" w:cstheme="majorHAnsi"/>
          <w:bCs/>
          <w:color w:val="000000"/>
          <w:sz w:val="24"/>
          <w:szCs w:val="24"/>
          <w:lang w:eastAsia="pt-BR"/>
        </w:rPr>
        <w:t>ISMP Brasil (2023)</w:t>
      </w:r>
      <w:r w:rsidRPr="002670A5">
        <w:rPr>
          <w:rFonts w:asciiTheme="majorHAnsi" w:eastAsia="Times New Roman" w:hAnsiTheme="majorHAnsi" w:cstheme="majorHAnsi"/>
          <w:color w:val="000000"/>
          <w:sz w:val="24"/>
          <w:szCs w:val="24"/>
          <w:lang w:eastAsia="pt-BR"/>
        </w:rPr>
        <w:t xml:space="preserve">, esses fármacos possuem janela terapêutica estreita e risco elevado de causar danos graves ou fatais, demandando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aplicação de protocolos rígidos e a criação de condições estruturais que garantam a execução segura das checagens.</w:t>
      </w:r>
    </w:p>
    <w:p w14:paraId="1D589555" w14:textId="782DEAB4" w:rsidR="00034909" w:rsidRPr="002670A5" w:rsidRDefault="0021162C" w:rsidP="001B4CC4">
      <w:pPr>
        <w:pStyle w:val="NormalWeb"/>
        <w:jc w:val="both"/>
        <w:rPr>
          <w:rFonts w:asciiTheme="majorHAnsi" w:hAnsiTheme="majorHAnsi" w:cstheme="majorHAnsi"/>
          <w:b/>
        </w:rPr>
      </w:pPr>
      <w:r w:rsidRPr="002670A5">
        <w:rPr>
          <w:rFonts w:asciiTheme="majorHAnsi" w:hAnsiTheme="majorHAnsi" w:cstheme="majorHAnsi"/>
          <w:b/>
        </w:rPr>
        <w:t>2</w:t>
      </w:r>
      <w:r w:rsidR="003002BF" w:rsidRPr="002670A5">
        <w:rPr>
          <w:rFonts w:asciiTheme="majorHAnsi" w:hAnsiTheme="majorHAnsi" w:cstheme="majorHAnsi"/>
          <w:b/>
        </w:rPr>
        <w:t xml:space="preserve">. </w:t>
      </w:r>
      <w:r w:rsidR="00AF5980" w:rsidRPr="002670A5">
        <w:rPr>
          <w:rFonts w:asciiTheme="majorHAnsi" w:hAnsiTheme="majorHAnsi" w:cstheme="majorHAnsi"/>
          <w:b/>
          <w:bCs/>
        </w:rPr>
        <w:t>DESENVOLVIMENTO</w:t>
      </w:r>
    </w:p>
    <w:p w14:paraId="6A65A9EE"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Este estudo caracteriza-se como uma revisão bibliográfica integrativa, de natureza descritiva e abordagem qualitativa, fundamentada em material técnico-científico já elaborado para permitir uma cobertura ampla e consistente sobre o fenômeno da segurança na administração de medicamentos. A estratégia de busca e seleção de dados foi realizada por meio de consultas em bases de dados confiáveis e oficiais, especificamente </w:t>
      </w:r>
      <w:r w:rsidRPr="002670A5">
        <w:rPr>
          <w:rFonts w:asciiTheme="majorHAnsi" w:eastAsia="Times New Roman" w:hAnsiTheme="majorHAnsi" w:cstheme="majorHAnsi"/>
          <w:bCs/>
          <w:sz w:val="24"/>
          <w:szCs w:val="24"/>
          <w:lang w:val="pt-BR" w:eastAsia="pt-BR"/>
        </w:rPr>
        <w:t>SciELO</w:t>
      </w:r>
      <w:r w:rsidRPr="002670A5">
        <w:rPr>
          <w:rFonts w:asciiTheme="majorHAnsi" w:eastAsia="Times New Roman" w:hAnsiTheme="majorHAnsi" w:cstheme="majorHAnsi"/>
          <w:sz w:val="24"/>
          <w:szCs w:val="24"/>
          <w:lang w:val="pt-BR" w:eastAsia="pt-BR"/>
        </w:rPr>
        <w:t xml:space="preserve">, </w:t>
      </w:r>
      <w:r w:rsidRPr="002670A5">
        <w:rPr>
          <w:rFonts w:asciiTheme="majorHAnsi" w:eastAsia="Times New Roman" w:hAnsiTheme="majorHAnsi" w:cstheme="majorHAnsi"/>
          <w:bCs/>
          <w:sz w:val="24"/>
          <w:szCs w:val="24"/>
          <w:lang w:val="pt-BR" w:eastAsia="pt-BR"/>
        </w:rPr>
        <w:t>LILACS</w:t>
      </w:r>
      <w:r w:rsidRPr="002670A5">
        <w:rPr>
          <w:rFonts w:asciiTheme="majorHAnsi" w:eastAsia="Times New Roman" w:hAnsiTheme="majorHAnsi" w:cstheme="majorHAnsi"/>
          <w:sz w:val="24"/>
          <w:szCs w:val="24"/>
          <w:lang w:val="pt-BR" w:eastAsia="pt-BR"/>
        </w:rPr>
        <w:t xml:space="preserve"> e </w:t>
      </w:r>
      <w:r w:rsidRPr="002670A5">
        <w:rPr>
          <w:rFonts w:asciiTheme="majorHAnsi" w:eastAsia="Times New Roman" w:hAnsiTheme="majorHAnsi" w:cstheme="majorHAnsi"/>
          <w:bCs/>
          <w:sz w:val="24"/>
          <w:szCs w:val="24"/>
          <w:lang w:val="pt-BR" w:eastAsia="pt-BR"/>
        </w:rPr>
        <w:t>Google Acadêmico</w:t>
      </w:r>
      <w:r w:rsidRPr="002670A5">
        <w:rPr>
          <w:rFonts w:asciiTheme="majorHAnsi" w:eastAsia="Times New Roman" w:hAnsiTheme="majorHAnsi" w:cstheme="majorHAnsi"/>
          <w:sz w:val="24"/>
          <w:szCs w:val="24"/>
          <w:lang w:val="pt-BR" w:eastAsia="pt-BR"/>
        </w:rPr>
        <w:t xml:space="preserve">, visando obter um </w:t>
      </w:r>
      <w:r w:rsidRPr="002670A5">
        <w:rPr>
          <w:rFonts w:asciiTheme="majorHAnsi" w:eastAsia="Times New Roman" w:hAnsiTheme="majorHAnsi" w:cstheme="majorHAnsi"/>
          <w:i/>
          <w:iCs/>
          <w:sz w:val="24"/>
          <w:szCs w:val="24"/>
          <w:lang w:val="pt-BR" w:eastAsia="pt-BR"/>
        </w:rPr>
        <w:t>corpus</w:t>
      </w:r>
      <w:r w:rsidRPr="002670A5">
        <w:rPr>
          <w:rFonts w:asciiTheme="majorHAnsi" w:eastAsia="Times New Roman" w:hAnsiTheme="majorHAnsi" w:cstheme="majorHAnsi"/>
          <w:sz w:val="24"/>
          <w:szCs w:val="24"/>
          <w:lang w:val="pt-BR" w:eastAsia="pt-BR"/>
        </w:rPr>
        <w:t xml:space="preserve"> documental que reflita o estado da arte do tema. Os critérios de inclusão delimitaram a seleção de artigos publicados nos últimos cinco anos, além de documentos normativos </w:t>
      </w:r>
      <w:r w:rsidRPr="002670A5">
        <w:rPr>
          <w:rFonts w:asciiTheme="majorHAnsi" w:eastAsia="Times New Roman" w:hAnsiTheme="majorHAnsi" w:cstheme="majorHAnsi"/>
          <w:sz w:val="24"/>
          <w:szCs w:val="24"/>
          <w:lang w:val="pt-BR" w:eastAsia="pt-BR"/>
        </w:rPr>
        <w:lastRenderedPageBreak/>
        <w:t>atualizados do Conselho Federal de Enfermagem (</w:t>
      </w:r>
      <w:r w:rsidRPr="002670A5">
        <w:rPr>
          <w:rFonts w:asciiTheme="majorHAnsi" w:eastAsia="Times New Roman" w:hAnsiTheme="majorHAnsi" w:cstheme="majorHAnsi"/>
          <w:bCs/>
          <w:sz w:val="24"/>
          <w:szCs w:val="24"/>
          <w:lang w:val="pt-BR" w:eastAsia="pt-BR"/>
        </w:rPr>
        <w:t>COFEN</w:t>
      </w:r>
      <w:r w:rsidRPr="002670A5">
        <w:rPr>
          <w:rFonts w:asciiTheme="majorHAnsi" w:eastAsia="Times New Roman" w:hAnsiTheme="majorHAnsi" w:cstheme="majorHAnsi"/>
          <w:sz w:val="24"/>
          <w:szCs w:val="24"/>
          <w:lang w:val="pt-BR" w:eastAsia="pt-BR"/>
        </w:rPr>
        <w:t xml:space="preserve">) e manuais do Ministério da Saúde, priorizando trabalhos na íntegra, nos idiomas português e inglês, que abordassem diretamente a dupla checagem. Para a recuperação dessas informações, utilizaram-se Descritores em Ciências da Saúde (DeCS) cruzados com o operador booleano </w:t>
      </w:r>
      <w:r w:rsidRPr="002670A5">
        <w:rPr>
          <w:rFonts w:asciiTheme="majorHAnsi" w:eastAsia="Times New Roman" w:hAnsiTheme="majorHAnsi" w:cstheme="majorHAnsi"/>
          <w:i/>
          <w:iCs/>
          <w:sz w:val="24"/>
          <w:szCs w:val="24"/>
          <w:lang w:val="pt-BR" w:eastAsia="pt-BR"/>
        </w:rPr>
        <w:t>AND</w:t>
      </w:r>
      <w:r w:rsidRPr="002670A5">
        <w:rPr>
          <w:rFonts w:asciiTheme="majorHAnsi" w:eastAsia="Times New Roman" w:hAnsiTheme="majorHAnsi" w:cstheme="majorHAnsi"/>
          <w:sz w:val="24"/>
          <w:szCs w:val="24"/>
          <w:lang w:val="pt-BR" w:eastAsia="pt-BR"/>
        </w:rPr>
        <w:t>: "Segurança do Paciente", "Erros de Medicação" e "Dupla Checagem".</w:t>
      </w:r>
    </w:p>
    <w:p w14:paraId="60008875" w14:textId="05C923FC" w:rsidR="00813618" w:rsidRPr="002670A5" w:rsidRDefault="00813618" w:rsidP="00AF5980">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A análise e o tratamento do conteúdo seguiram o método de análise de conteúdo, organizado nas fases de pré-análise, exploração do material e tratamento dos resultados com inferência e interpretação. Esse processo permitiu categorizar as evidências em unidades temáticas relevantes para o alcance dos objetivos do trabalho, tais como eficácia, barreiras institucionais e implicações éticas, resultando em uma síntese crítica que responde ao problema de pesquisa. Por fim, no que tange aos aspectos éticos, por tratar-se de uma pesquisa bibliográfica com dados de domínio público e fontes secundárias, dispensou-se a submissão ao Comitê de Ética em Pesquisa (CEP). Todavia, respeitou-se rigorosamente a integridade intelectual dos autores consultados, garantindo a fidedignidade das citações e a padronização das referências conforme as normas da ABNT.</w:t>
      </w:r>
    </w:p>
    <w:p w14:paraId="0F7FECE3" w14:textId="3F6D5591" w:rsidR="00813618" w:rsidRPr="002670A5" w:rsidRDefault="00DF1CEC"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bCs/>
          <w:sz w:val="24"/>
          <w:szCs w:val="24"/>
          <w:lang w:val="pt-BR" w:eastAsia="pt-BR"/>
        </w:rPr>
        <w:t>2</w:t>
      </w:r>
      <w:r w:rsidR="00813618" w:rsidRPr="002670A5">
        <w:rPr>
          <w:rFonts w:asciiTheme="majorHAnsi" w:eastAsia="Times New Roman" w:hAnsiTheme="majorHAnsi" w:cstheme="majorHAnsi"/>
          <w:bCs/>
          <w:sz w:val="24"/>
          <w:szCs w:val="24"/>
          <w:lang w:val="pt-BR" w:eastAsia="pt-BR"/>
        </w:rPr>
        <w:t>.1. Evolução da Segurança do Paciente e o Modelo de Barreira Sistêmica</w:t>
      </w:r>
    </w:p>
    <w:p w14:paraId="39AF8806"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A segurança do paciente, conforme preconizado pela Organização Mundial da Saúde (OMS), define-se pela redução dos riscos de danos desnecessários associados à assistência em saúde a um mínimo aceitável. O marco moderno desta discussão foi a publicação do relatório </w:t>
      </w:r>
      <w:r w:rsidRPr="002670A5">
        <w:rPr>
          <w:rFonts w:asciiTheme="majorHAnsi" w:eastAsia="Times New Roman" w:hAnsiTheme="majorHAnsi" w:cstheme="majorHAnsi"/>
          <w:bCs/>
          <w:i/>
          <w:iCs/>
          <w:sz w:val="24"/>
          <w:szCs w:val="24"/>
          <w:lang w:val="pt-BR" w:eastAsia="pt-BR"/>
        </w:rPr>
        <w:t>To Err is Human</w:t>
      </w:r>
      <w:r w:rsidRPr="002670A5">
        <w:rPr>
          <w:rFonts w:asciiTheme="majorHAnsi" w:eastAsia="Times New Roman" w:hAnsiTheme="majorHAnsi" w:cstheme="majorHAnsi"/>
          <w:sz w:val="24"/>
          <w:szCs w:val="24"/>
          <w:lang w:val="pt-BR" w:eastAsia="pt-BR"/>
        </w:rPr>
        <w:t xml:space="preserve"> (IOM, 2000), que revelou que falhas sistêmicas eram responsáveis por um número alarmante de óbitos anuais evitáveis. No Brasil, o Programa Nacional de Segurança do Paciente (PNSP), instituído pela Portaria MS nº 529/2013, institucionalizou o debate, estabelecendo que a segurança não deve ser entendida como a ausência total de erros, mas como a capacidade do sistema em detectar, interceptar e corrigir falhas antes que causem danos ao paciente (ANVISA, 2017).</w:t>
      </w:r>
    </w:p>
    <w:p w14:paraId="1E021391"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Nesse cenário, James Reason (1990, 1997) postula que acidentes hospitalares raramente decorrem de uma falha isolada. Através do "Modelo do Queijo Suíço", explica-se que as organizações possuem múltiplas camadas de defesa (fatias), mas que estas possuem "buracos" ou falhas latentes resultantes de processos frágeis. O evento adverso ocorre quando os buracos em várias camadas se alinham, permitindo que o perigo atravesse todas as barreiras e atinja o paciente. A administração de medicamentos é uma das etapas mais vulneráveis por representar a última camada de defesa; sem barreiras eficazes como a verificação redundante, o dano torna-se inevitável.</w:t>
      </w:r>
    </w:p>
    <w:p w14:paraId="50B55CCB" w14:textId="06CB6B71" w:rsidR="00813618" w:rsidRPr="002670A5" w:rsidRDefault="00DF1CEC"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bCs/>
          <w:sz w:val="24"/>
          <w:szCs w:val="24"/>
          <w:lang w:val="pt-BR" w:eastAsia="pt-BR"/>
        </w:rPr>
        <w:t>2</w:t>
      </w:r>
      <w:r w:rsidR="00813618" w:rsidRPr="002670A5">
        <w:rPr>
          <w:rFonts w:asciiTheme="majorHAnsi" w:eastAsia="Times New Roman" w:hAnsiTheme="majorHAnsi" w:cstheme="majorHAnsi"/>
          <w:bCs/>
          <w:sz w:val="24"/>
          <w:szCs w:val="24"/>
          <w:lang w:val="pt-BR" w:eastAsia="pt-BR"/>
        </w:rPr>
        <w:t>.2. O Ciclo de Medicação e a Estratégia da Dupla Checagem (</w:t>
      </w:r>
      <w:r w:rsidR="00813618" w:rsidRPr="002670A5">
        <w:rPr>
          <w:rFonts w:asciiTheme="majorHAnsi" w:eastAsia="Times New Roman" w:hAnsiTheme="majorHAnsi" w:cstheme="majorHAnsi"/>
          <w:bCs/>
          <w:i/>
          <w:iCs/>
          <w:sz w:val="24"/>
          <w:szCs w:val="24"/>
          <w:lang w:val="pt-BR" w:eastAsia="pt-BR"/>
        </w:rPr>
        <w:t>Double-Check</w:t>
      </w:r>
      <w:r w:rsidR="00813618" w:rsidRPr="002670A5">
        <w:rPr>
          <w:rFonts w:asciiTheme="majorHAnsi" w:eastAsia="Times New Roman" w:hAnsiTheme="majorHAnsi" w:cstheme="majorHAnsi"/>
          <w:bCs/>
          <w:sz w:val="24"/>
          <w:szCs w:val="24"/>
          <w:lang w:val="pt-BR" w:eastAsia="pt-BR"/>
        </w:rPr>
        <w:t>)</w:t>
      </w:r>
    </w:p>
    <w:p w14:paraId="58B5BDA6"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lastRenderedPageBreak/>
        <w:t>A equipe de enfermagem detém a responsabilidade final sobre o preparo e a administração de terapêuticas, atuando como o filtro definitivo de segurança. O erro de medicação é um fenômeno multicausal, influenciado por fatores ambientais, individuais e organizacionais. A complexidade da farmacoterapia contemporânea exige que o profissional transcenda os clássicos "cinco certos", discutindo-se atualmente a necessidade de nove ou mais verificações, que incluem desde a validade do fármaco até o direito de recusa do paciente e o registro fidedigno (BRASIL, 2024). A literatura evidencia que a dupla checagem constitui uma das estratégias de barreira mais eficazes para a interceptação de erros neste ciclo.</w:t>
      </w:r>
    </w:p>
    <w:p w14:paraId="053F56BF" w14:textId="77777777" w:rsidR="009D267D"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Esta prática fundamenta-se na verificação independente realizada por dois profissionais qualificados. Para que seja efetiva, deve ser "cega": o segundo profissional realiza sua própria conferência (identificação do paciente, medicamento, dose, via e horário) sem sofrer influência ou indução do primeiro. Esta redundância atua como filtro para falhas cognitivas involuntárias, sendo potencializada pelo uso de </w:t>
      </w:r>
      <w:r w:rsidRPr="002670A5">
        <w:rPr>
          <w:rFonts w:asciiTheme="majorHAnsi" w:eastAsia="Times New Roman" w:hAnsiTheme="majorHAnsi" w:cstheme="majorHAnsi"/>
          <w:i/>
          <w:iCs/>
          <w:sz w:val="24"/>
          <w:szCs w:val="24"/>
          <w:lang w:val="pt-BR" w:eastAsia="pt-BR"/>
        </w:rPr>
        <w:t>checklists</w:t>
      </w:r>
      <w:r w:rsidRPr="002670A5">
        <w:rPr>
          <w:rFonts w:asciiTheme="majorHAnsi" w:eastAsia="Times New Roman" w:hAnsiTheme="majorHAnsi" w:cstheme="majorHAnsi"/>
          <w:sz w:val="24"/>
          <w:szCs w:val="24"/>
          <w:lang w:val="pt-BR" w:eastAsia="pt-BR"/>
        </w:rPr>
        <w:t xml:space="preserve"> estruturados. Tal estratégia é um imperativo ético e técnico, especialmente no manejo de Medicamentos de Alta Vigilância (MAV), como insulinas, anticoagulantes e eletrólitos concentrados, cujas margens terapêuticas estreitas tornam qualquer desvio de dosagem potencialmente fatal (ISMP BRASIL, 2023).</w:t>
      </w:r>
    </w:p>
    <w:p w14:paraId="7E17542C" w14:textId="6DEF027D"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A fundamentação científica para a obrigatoriedade da dupla checagem reside na farmacodinâmica dos fármacos de alto risco. Erros na administração de insulina podem desencadear hipoglicemia severa e coma em poucos minutos, enquanto o Cloreto de Potássio (KCl) concentrado, se administrado por via inadvertida, provoca parada cardiorrespiratória imediata. Sob a ótica da segurança sistêmica, a dupla verificação opera como um filtro de redundância estatística: se a probabilidade de erro individual de um profissional é de 1% (0,01), a probabilidade de dois profissionais cometerem o mesmo erro simultaneamente cai para 0,01% (0,01 x 0,01 = 0,0001).</w:t>
      </w:r>
    </w:p>
    <w:p w14:paraId="60051691"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Cientificamente, o erro na enfermagem é frequentemente um fenômeno cognitivo, manifestando-se como lapsos de memória ou erros de execução (</w:t>
      </w:r>
      <w:r w:rsidRPr="002670A5">
        <w:rPr>
          <w:rFonts w:asciiTheme="majorHAnsi" w:eastAsia="Times New Roman" w:hAnsiTheme="majorHAnsi" w:cstheme="majorHAnsi"/>
          <w:i/>
          <w:iCs/>
          <w:sz w:val="24"/>
          <w:szCs w:val="24"/>
          <w:lang w:val="pt-BR" w:eastAsia="pt-BR"/>
        </w:rPr>
        <w:t>slips</w:t>
      </w:r>
      <w:r w:rsidRPr="002670A5">
        <w:rPr>
          <w:rFonts w:asciiTheme="majorHAnsi" w:eastAsia="Times New Roman" w:hAnsiTheme="majorHAnsi" w:cstheme="majorHAnsi"/>
          <w:sz w:val="24"/>
          <w:szCs w:val="24"/>
          <w:lang w:val="pt-BR" w:eastAsia="pt-BR"/>
        </w:rPr>
        <w:t>). Estudos indicam que a fadiga e a quebra do ritmo circadiano em plantões noturnos diminuem o desempenho técnico e aumentam a "cegueira por desatenção". Ademais, a literatura aponta que cada interrupção externa durante o preparo do medicamento eleva em 12,1% a probabilidade de erro. A dupla checagem interrompe o automatismo cerebral do profissional, forçando a saída do estado de "piloto automático" e exigindo uma conferência ativa, consciente e focada na tarefa (CASSIANI; SILVA, 2022).</w:t>
      </w:r>
    </w:p>
    <w:p w14:paraId="3E3F98CF" w14:textId="3C149E9E" w:rsidR="00813618" w:rsidRPr="002670A5" w:rsidRDefault="00DF1CEC"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bCs/>
          <w:sz w:val="24"/>
          <w:szCs w:val="24"/>
          <w:lang w:val="pt-BR" w:eastAsia="pt-BR"/>
        </w:rPr>
        <w:t>2</w:t>
      </w:r>
      <w:r w:rsidR="00813618" w:rsidRPr="002670A5">
        <w:rPr>
          <w:rFonts w:asciiTheme="majorHAnsi" w:eastAsia="Times New Roman" w:hAnsiTheme="majorHAnsi" w:cstheme="majorHAnsi"/>
          <w:bCs/>
          <w:sz w:val="24"/>
          <w:szCs w:val="24"/>
          <w:lang w:val="pt-BR" w:eastAsia="pt-BR"/>
        </w:rPr>
        <w:t>.</w:t>
      </w:r>
      <w:r w:rsidR="009D267D" w:rsidRPr="002670A5">
        <w:rPr>
          <w:rFonts w:asciiTheme="majorHAnsi" w:eastAsia="Times New Roman" w:hAnsiTheme="majorHAnsi" w:cstheme="majorHAnsi"/>
          <w:bCs/>
          <w:sz w:val="24"/>
          <w:szCs w:val="24"/>
          <w:lang w:val="pt-BR" w:eastAsia="pt-BR"/>
        </w:rPr>
        <w:t>3</w:t>
      </w:r>
      <w:r w:rsidR="00813618" w:rsidRPr="002670A5">
        <w:rPr>
          <w:rFonts w:asciiTheme="majorHAnsi" w:eastAsia="Times New Roman" w:hAnsiTheme="majorHAnsi" w:cstheme="majorHAnsi"/>
          <w:bCs/>
          <w:sz w:val="24"/>
          <w:szCs w:val="24"/>
          <w:lang w:val="pt-BR" w:eastAsia="pt-BR"/>
        </w:rPr>
        <w:t xml:space="preserve"> Desafios Organizacionais, Segurança Jurídica e Ética Profissional</w:t>
      </w:r>
    </w:p>
    <w:p w14:paraId="28D618C3"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A eficácia da segurança do paciente está intrinsecamente ligada a fatores organizacionais, sendo a sobrecarga de trabalho e o dimensionamento inadequado as principais barreiras à prática segura. É imperativo combater a "prática mecânica", na qual ocorre a assinatura da checagem sem a conferência real, o que gera uma falsa </w:t>
      </w:r>
      <w:r w:rsidRPr="002670A5">
        <w:rPr>
          <w:rFonts w:asciiTheme="majorHAnsi" w:eastAsia="Times New Roman" w:hAnsiTheme="majorHAnsi" w:cstheme="majorHAnsi"/>
          <w:sz w:val="24"/>
          <w:szCs w:val="24"/>
          <w:lang w:val="pt-BR" w:eastAsia="pt-BR"/>
        </w:rPr>
        <w:lastRenderedPageBreak/>
        <w:t xml:space="preserve">sensação de segurança e reduz um protocolo crítico a uma mera etapa burocrática. Para mitigar esse risco, é </w:t>
      </w:r>
      <w:proofErr w:type="gramStart"/>
      <w:r w:rsidRPr="002670A5">
        <w:rPr>
          <w:rFonts w:asciiTheme="majorHAnsi" w:eastAsia="Times New Roman" w:hAnsiTheme="majorHAnsi" w:cstheme="majorHAnsi"/>
          <w:sz w:val="24"/>
          <w:szCs w:val="24"/>
          <w:lang w:val="pt-BR" w:eastAsia="pt-BR"/>
        </w:rPr>
        <w:t>necessária</w:t>
      </w:r>
      <w:proofErr w:type="gramEnd"/>
      <w:r w:rsidRPr="002670A5">
        <w:rPr>
          <w:rFonts w:asciiTheme="majorHAnsi" w:eastAsia="Times New Roman" w:hAnsiTheme="majorHAnsi" w:cstheme="majorHAnsi"/>
          <w:sz w:val="24"/>
          <w:szCs w:val="24"/>
          <w:lang w:val="pt-BR" w:eastAsia="pt-BR"/>
        </w:rPr>
        <w:t xml:space="preserve"> a implementação de programas de educação permanente e o fortalecimento de uma "Cultura Justa", que transita do modelo punitivo para um modelo onde o erro é analisado como oportunidade de melhoria sistêmica, incentivando a notificação de "quase-erros" (</w:t>
      </w:r>
      <w:r w:rsidRPr="002670A5">
        <w:rPr>
          <w:rFonts w:asciiTheme="majorHAnsi" w:eastAsia="Times New Roman" w:hAnsiTheme="majorHAnsi" w:cstheme="majorHAnsi"/>
          <w:i/>
          <w:iCs/>
          <w:sz w:val="24"/>
          <w:szCs w:val="24"/>
          <w:lang w:val="pt-BR" w:eastAsia="pt-BR"/>
        </w:rPr>
        <w:t>near misses</w:t>
      </w:r>
      <w:r w:rsidRPr="002670A5">
        <w:rPr>
          <w:rFonts w:asciiTheme="majorHAnsi" w:eastAsia="Times New Roman" w:hAnsiTheme="majorHAnsi" w:cstheme="majorHAnsi"/>
          <w:sz w:val="24"/>
          <w:szCs w:val="24"/>
          <w:lang w:val="pt-BR" w:eastAsia="pt-BR"/>
        </w:rPr>
        <w:t>).</w:t>
      </w:r>
    </w:p>
    <w:p w14:paraId="3880C955"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Sob a perspectiva jurídica e ética, a enfermagem, como última barreira, resguarda o registro profissional perante o Conselho Federal de Enfermagem (COFEN). Erros de medicação podem resultar em processos éticos, civis e criminais por negligência, imperícia ou imprudência. Portanto, a adesão estrita aos protocolos de dupla checagem serve como evidência documental de zelo e boa prática, sendo fundamental para a defesa técnica em casos de judicialização. Garantir uma assistência segura é um dever legal e moral que consolida a enfermagem como uma ciência pautada na excelência e na proteção intransigente da vida (COFEN, 2023; TANNURE; GONÇALVES, 2022).</w:t>
      </w:r>
    </w:p>
    <w:p w14:paraId="3FB88936" w14:textId="457C2F4F" w:rsidR="00034909" w:rsidRPr="002670A5" w:rsidRDefault="00ED0DB4" w:rsidP="00ED0DB4">
      <w:pPr>
        <w:jc w:val="both"/>
        <w:rPr>
          <w:rFonts w:asciiTheme="majorHAnsi" w:hAnsiTheme="majorHAnsi" w:cstheme="majorHAnsi"/>
          <w:sz w:val="24"/>
          <w:szCs w:val="24"/>
        </w:rPr>
      </w:pPr>
      <w:r w:rsidRPr="002670A5">
        <w:rPr>
          <w:rFonts w:asciiTheme="majorHAnsi" w:hAnsiTheme="majorHAnsi" w:cstheme="majorHAnsi"/>
          <w:sz w:val="24"/>
          <w:szCs w:val="24"/>
        </w:rPr>
        <w:br/>
      </w:r>
      <w:r w:rsidR="00DF1CEC" w:rsidRPr="002670A5">
        <w:rPr>
          <w:rFonts w:asciiTheme="majorHAnsi" w:hAnsiTheme="majorHAnsi" w:cstheme="majorHAnsi"/>
          <w:sz w:val="24"/>
          <w:szCs w:val="24"/>
        </w:rPr>
        <w:t>2</w:t>
      </w:r>
      <w:r w:rsidR="0021162C" w:rsidRPr="002670A5">
        <w:rPr>
          <w:rFonts w:asciiTheme="majorHAnsi" w:hAnsiTheme="majorHAnsi" w:cstheme="majorHAnsi"/>
          <w:sz w:val="24"/>
          <w:szCs w:val="24"/>
        </w:rPr>
        <w:t>.</w:t>
      </w:r>
      <w:r w:rsidR="00C40014" w:rsidRPr="002670A5">
        <w:rPr>
          <w:rFonts w:asciiTheme="majorHAnsi" w:hAnsiTheme="majorHAnsi" w:cstheme="majorHAnsi"/>
          <w:sz w:val="24"/>
          <w:szCs w:val="24"/>
        </w:rPr>
        <w:t>4</w:t>
      </w:r>
      <w:r w:rsidR="003002BF" w:rsidRPr="002670A5">
        <w:rPr>
          <w:rFonts w:asciiTheme="majorHAnsi" w:hAnsiTheme="majorHAnsi" w:cstheme="majorHAnsi"/>
          <w:sz w:val="24"/>
          <w:szCs w:val="24"/>
        </w:rPr>
        <w:t xml:space="preserve"> </w:t>
      </w:r>
      <w:r w:rsidR="008D4C62" w:rsidRPr="002670A5">
        <w:rPr>
          <w:rFonts w:asciiTheme="majorHAnsi" w:hAnsiTheme="majorHAnsi" w:cstheme="majorHAnsi"/>
          <w:sz w:val="24"/>
          <w:szCs w:val="24"/>
        </w:rPr>
        <w:t xml:space="preserve">Os 9 Certos da Medicação </w:t>
      </w:r>
    </w:p>
    <w:p w14:paraId="09157D5A" w14:textId="528F8CFD" w:rsidR="00034909" w:rsidRPr="002670A5" w:rsidRDefault="003002BF" w:rsidP="00ED0DB4">
      <w:pPr>
        <w:jc w:val="both"/>
        <w:rPr>
          <w:rFonts w:asciiTheme="majorHAnsi" w:hAnsiTheme="majorHAnsi" w:cstheme="majorHAnsi"/>
          <w:sz w:val="24"/>
          <w:szCs w:val="24"/>
        </w:rPr>
      </w:pPr>
      <w:proofErr w:type="gramStart"/>
      <w:r w:rsidRPr="002670A5">
        <w:rPr>
          <w:rFonts w:asciiTheme="majorHAnsi" w:hAnsiTheme="majorHAnsi" w:cstheme="majorHAnsi"/>
          <w:sz w:val="24"/>
          <w:szCs w:val="24"/>
        </w:rPr>
        <w:t>A</w:t>
      </w:r>
      <w:proofErr w:type="gramEnd"/>
      <w:r w:rsidRPr="002670A5">
        <w:rPr>
          <w:rFonts w:asciiTheme="majorHAnsi" w:hAnsiTheme="majorHAnsi" w:cstheme="majorHAnsi"/>
          <w:sz w:val="24"/>
          <w:szCs w:val="24"/>
        </w:rPr>
        <w:t xml:space="preserve"> análise da literatura evidencia que a dupla checagem constitui uma das estratégias de barreira mais eficazes para a interceptação de erros no ciclo medicamentoso.</w:t>
      </w:r>
    </w:p>
    <w:p w14:paraId="1876A41D"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A administração segura de medicamentos na prática de enfermagem fundamenta-se no princípio dos “certos da medicação”, que representam uma das principais barreiras de segurança para prevenção de eventos adversos. Historicamente, esse modelo iniciou-se com os </w:t>
      </w:r>
      <w:r w:rsidRPr="002670A5">
        <w:rPr>
          <w:rFonts w:asciiTheme="majorHAnsi" w:eastAsia="Times New Roman" w:hAnsiTheme="majorHAnsi" w:cstheme="majorHAnsi"/>
          <w:bCs/>
          <w:sz w:val="24"/>
          <w:szCs w:val="24"/>
          <w:lang w:val="pt-BR" w:eastAsia="pt-BR"/>
        </w:rPr>
        <w:t>5 certos clássicos</w:t>
      </w:r>
      <w:r w:rsidRPr="002670A5">
        <w:rPr>
          <w:rFonts w:asciiTheme="majorHAnsi" w:eastAsia="Times New Roman" w:hAnsiTheme="majorHAnsi" w:cstheme="majorHAnsi"/>
          <w:sz w:val="24"/>
          <w:szCs w:val="24"/>
          <w:lang w:val="pt-BR" w:eastAsia="pt-BR"/>
        </w:rPr>
        <w:t xml:space="preserve">: paciente certo, medicamento certo, dose certa, via certa e horário certo. Com a evolução das práticas de segurança do paciente e o aumento da complexidade terapêutica, esse modelo foi ampliado para </w:t>
      </w:r>
      <w:r w:rsidRPr="002670A5">
        <w:rPr>
          <w:rFonts w:asciiTheme="majorHAnsi" w:eastAsia="Times New Roman" w:hAnsiTheme="majorHAnsi" w:cstheme="majorHAnsi"/>
          <w:bCs/>
          <w:sz w:val="24"/>
          <w:szCs w:val="24"/>
          <w:lang w:val="pt-BR" w:eastAsia="pt-BR"/>
        </w:rPr>
        <w:t>9 certos</w:t>
      </w:r>
      <w:r w:rsidRPr="002670A5">
        <w:rPr>
          <w:rFonts w:asciiTheme="majorHAnsi" w:eastAsia="Times New Roman" w:hAnsiTheme="majorHAnsi" w:cstheme="majorHAnsi"/>
          <w:sz w:val="24"/>
          <w:szCs w:val="24"/>
          <w:lang w:val="pt-BR" w:eastAsia="pt-BR"/>
        </w:rPr>
        <w:t xml:space="preserve">, conforme adotado em protocolos de enfermagem no Brasil, incluindo recomendações alinhadas ao </w:t>
      </w:r>
      <w:r w:rsidRPr="002670A5">
        <w:rPr>
          <w:rFonts w:asciiTheme="majorHAnsi" w:eastAsia="Times New Roman" w:hAnsiTheme="majorHAnsi" w:cstheme="majorHAnsi"/>
          <w:bCs/>
          <w:sz w:val="24"/>
          <w:szCs w:val="24"/>
          <w:lang w:val="pt-BR" w:eastAsia="pt-BR"/>
        </w:rPr>
        <w:t>COFEN</w:t>
      </w:r>
      <w:r w:rsidRPr="002670A5">
        <w:rPr>
          <w:rFonts w:asciiTheme="majorHAnsi" w:eastAsia="Times New Roman" w:hAnsiTheme="majorHAnsi" w:cstheme="majorHAnsi"/>
          <w:sz w:val="24"/>
          <w:szCs w:val="24"/>
          <w:lang w:val="pt-BR" w:eastAsia="pt-BR"/>
        </w:rPr>
        <w:t xml:space="preserve"> e ao </w:t>
      </w:r>
      <w:r w:rsidRPr="002670A5">
        <w:rPr>
          <w:rFonts w:asciiTheme="majorHAnsi" w:eastAsia="Times New Roman" w:hAnsiTheme="majorHAnsi" w:cstheme="majorHAnsi"/>
          <w:bCs/>
          <w:sz w:val="24"/>
          <w:szCs w:val="24"/>
          <w:lang w:val="pt-BR" w:eastAsia="pt-BR"/>
        </w:rPr>
        <w:t>Ministério da Saúde</w:t>
      </w:r>
      <w:r w:rsidRPr="002670A5">
        <w:rPr>
          <w:rFonts w:asciiTheme="majorHAnsi" w:eastAsia="Times New Roman" w:hAnsiTheme="majorHAnsi" w:cstheme="majorHAnsi"/>
          <w:sz w:val="24"/>
          <w:szCs w:val="24"/>
          <w:lang w:val="pt-BR" w:eastAsia="pt-BR"/>
        </w:rPr>
        <w:t>.</w:t>
      </w:r>
    </w:p>
    <w:p w14:paraId="1A82ABC7"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Os </w:t>
      </w:r>
      <w:r w:rsidRPr="002670A5">
        <w:rPr>
          <w:rFonts w:asciiTheme="majorHAnsi" w:eastAsia="Times New Roman" w:hAnsiTheme="majorHAnsi" w:cstheme="majorHAnsi"/>
          <w:bCs/>
          <w:sz w:val="24"/>
          <w:szCs w:val="24"/>
          <w:lang w:val="pt-BR" w:eastAsia="pt-BR"/>
        </w:rPr>
        <w:t>9 certos da medicação</w:t>
      </w:r>
      <w:r w:rsidRPr="002670A5">
        <w:rPr>
          <w:rFonts w:asciiTheme="majorHAnsi" w:eastAsia="Times New Roman" w:hAnsiTheme="majorHAnsi" w:cstheme="majorHAnsi"/>
          <w:sz w:val="24"/>
          <w:szCs w:val="24"/>
          <w:lang w:val="pt-BR" w:eastAsia="pt-BR"/>
        </w:rPr>
        <w:t xml:space="preserve"> incluem: paciente certo, medicamento certo, dose certa, via certa, horário certo, registro certo, orientação certa, forma farmacêutica certa e resposta certa ao medicamento. Essa ampliação reforça que a segurança não está apenas na execução técnica, mas também no acompanhamento clínico e na comunicação efetiva com o paciente.</w:t>
      </w:r>
    </w:p>
    <w:p w14:paraId="2204B076"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Nesse contexto, a verificação em pares constitui uma estratégia essencial de barreira adicional, na qual dois profissionais conferem de forma independente ou conjunta as etapas críticas do processo medicamentoso. Essa redundância atua diretamente na mitigação de falhas cognitivas humanas, como lapsos de memória, distrações e erros de percepção, especialmente em ambientes de alta demanda assistencial.</w:t>
      </w:r>
    </w:p>
    <w:p w14:paraId="28F25711"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A eficácia desse processo é potencializada quando associada a ferramentas estruturadas, como checklists de conferência e leitura em voz alta, que favorecem a </w:t>
      </w:r>
      <w:r w:rsidRPr="002670A5">
        <w:rPr>
          <w:rFonts w:asciiTheme="majorHAnsi" w:eastAsia="Times New Roman" w:hAnsiTheme="majorHAnsi" w:cstheme="majorHAnsi"/>
          <w:sz w:val="24"/>
          <w:szCs w:val="24"/>
          <w:lang w:val="pt-BR" w:eastAsia="pt-BR"/>
        </w:rPr>
        <w:lastRenderedPageBreak/>
        <w:t>atenção consciente e reduzem a execução automática das atividades. Essa interrupção do “piloto automático” cognitivo contribui significativamente para a diminuição de erros, especialmente no manejo de medicamentos de alta vigilância (MAV), nos quais pequenas falhas podem resultar em eventos adversos graves.</w:t>
      </w:r>
    </w:p>
    <w:p w14:paraId="418D5418" w14:textId="4E283567" w:rsidR="00813618" w:rsidRPr="002670A5" w:rsidRDefault="00813618" w:rsidP="00C4001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Dessa forma, a consolidação dos “certos da medicação”, em sua versão ampliada, associada à verificação em pares e ao uso de estratégias sistematizadas de checagem, representa um componente essencial da cultura de segurança do paciente, fortalecendo a prática assistencial segura, crítica e baseada em evidências.</w:t>
      </w:r>
    </w:p>
    <w:p w14:paraId="65DFF0C9"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A efetividade das estratégias de segurança medicamentosa não depende apenas do conhecimento técnico individual, mas está diretamente relacionada às condições organizacionais do ambiente de trabalho. Fatores como sobrecarga de atividades, dimensionamento inadequado de pessoal, múltiplas demandas simultâneas e interrupções frequentes durante a assistência configuram importantes barreiras para a prática segura na enfermagem.</w:t>
      </w:r>
    </w:p>
    <w:p w14:paraId="5B254794"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Nesse cenário, a execução da dupla checagem pode ser comprometida quando realizada de forma automatizada e não reflexiva, resultando em uma prática meramente formal, muitas vezes reduzida à assinatura sem conferência real do procedimento. Essa conduta caracteriza a chamada “prática mecânica”, na qual a ferramenta de segurança perde sua finalidade original e passa a funcionar apenas como etapa burocrática do processo de trabalho.</w:t>
      </w:r>
    </w:p>
    <w:p w14:paraId="4037DC92"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Essa mecanização da assistência gera uma falsa sensação de segurança, pois mantém o registro documental da verificação, mas não garante a efetiva análise crítica do medicamento, do paciente e das condições de administração. Assim, uma barreira que deveria reduzir riscos pode, na prática, deixar de cumprir sua função protetiva, aumentando a vulnerabilidade a erros evitáveis.</w:t>
      </w:r>
    </w:p>
    <w:p w14:paraId="3A15A4C8"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Dessa forma, torna-se essencial o fortalecimento da atenção consciente durante os processos assistenciais, com valorização do raciocínio clínico e da responsabilidade individual e coletiva, mesmo em ambientes de alta demanda. A segurança do paciente, portanto, depende não apenas de protocolos, mas também da qualidade da execução desses protocolos na prática cotidiana.</w:t>
      </w:r>
    </w:p>
    <w:p w14:paraId="6B5F5B07"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Diante desses desafios, torna-se imperativa a implementação de programas de educação permanente em saúde, voltados não apenas à atualização técnica, mas principalmente ao fortalecimento da cultura de segurança do paciente. A educação permanente permite a reflexão crítica sobre o processo de trabalho, favorecendo a identificação de fragilidades assistenciais e promovendo a construção coletiva de estratégias de melhoria.</w:t>
      </w:r>
    </w:p>
    <w:p w14:paraId="44341B98" w14:textId="77777777" w:rsidR="00813618" w:rsidRPr="002670A5" w:rsidRDefault="00813618"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lastRenderedPageBreak/>
        <w:t>Um dos pilares dessa cultura de segurança é a criação de ambientes institucionais livres de julgamento punitivo, nos quais os profissionais se sintam encorajados a realizar a dupla conferência de forma efetiva e a notificar eventos como os “quase-erros” (</w:t>
      </w:r>
      <w:r w:rsidRPr="002670A5">
        <w:rPr>
          <w:rFonts w:asciiTheme="majorHAnsi" w:eastAsia="Times New Roman" w:hAnsiTheme="majorHAnsi" w:cstheme="majorHAnsi"/>
          <w:i/>
          <w:iCs/>
          <w:sz w:val="24"/>
          <w:szCs w:val="24"/>
          <w:lang w:val="pt-BR" w:eastAsia="pt-BR"/>
        </w:rPr>
        <w:t>near misses</w:t>
      </w:r>
      <w:r w:rsidRPr="002670A5">
        <w:rPr>
          <w:rFonts w:asciiTheme="majorHAnsi" w:eastAsia="Times New Roman" w:hAnsiTheme="majorHAnsi" w:cstheme="majorHAnsi"/>
          <w:sz w:val="24"/>
          <w:szCs w:val="24"/>
          <w:lang w:val="pt-BR" w:eastAsia="pt-BR"/>
        </w:rPr>
        <w:t>). Esses registros são fundamentais para a análise sistêmica das falhas e para a implementação de medidas preventivas que evitem a repetição de erros.</w:t>
      </w:r>
    </w:p>
    <w:p w14:paraId="6D3164ED" w14:textId="14920064" w:rsidR="00034909" w:rsidRPr="002670A5" w:rsidRDefault="00813618" w:rsidP="001B4CC4">
      <w:pPr>
        <w:spacing w:before="100" w:beforeAutospacing="1" w:after="100" w:afterAutospacing="1" w:line="240" w:lineRule="auto"/>
        <w:jc w:val="both"/>
        <w:rPr>
          <w:rFonts w:asciiTheme="majorHAnsi" w:hAnsiTheme="majorHAnsi" w:cstheme="majorHAnsi"/>
          <w:sz w:val="24"/>
          <w:szCs w:val="24"/>
        </w:rPr>
      </w:pPr>
      <w:r w:rsidRPr="002670A5">
        <w:rPr>
          <w:rFonts w:asciiTheme="majorHAnsi" w:eastAsia="Times New Roman" w:hAnsiTheme="majorHAnsi" w:cstheme="majorHAnsi"/>
          <w:sz w:val="24"/>
          <w:szCs w:val="24"/>
          <w:lang w:val="pt-BR" w:eastAsia="pt-BR"/>
        </w:rPr>
        <w:t>Assim, a enfermagem assume papel estratégico na promoção da segurança do paciente, uma vez que sua atuação é contínua, direta e fundamental no processo assistencial. A prática consciente, aliada ao suporte institucional, à educação permanente e ao cumprimento qualificado dos protocolos, constitui o caminho para a excelência do cuidado em saúde, reduzindo riscos e fortalecendo a qualidade da assistência.</w:t>
      </w:r>
    </w:p>
    <w:p w14:paraId="1AF9C7D1" w14:textId="4539C9FC" w:rsidR="003002BF" w:rsidRPr="002670A5" w:rsidRDefault="00DF1CEC" w:rsidP="00ED0DB4">
      <w:pPr>
        <w:spacing w:before="100" w:beforeAutospacing="1" w:after="100" w:afterAutospacing="1" w:line="240" w:lineRule="auto"/>
        <w:jc w:val="both"/>
        <w:outlineLvl w:val="2"/>
        <w:rPr>
          <w:rFonts w:asciiTheme="majorHAnsi" w:eastAsia="Times New Roman" w:hAnsiTheme="majorHAnsi" w:cstheme="majorHAnsi"/>
          <w:bCs/>
          <w:sz w:val="24"/>
          <w:szCs w:val="24"/>
          <w:lang w:val="pt-BR" w:eastAsia="pt-BR"/>
        </w:rPr>
      </w:pPr>
      <w:r w:rsidRPr="002670A5">
        <w:rPr>
          <w:rFonts w:asciiTheme="majorHAnsi" w:eastAsia="Times New Roman" w:hAnsiTheme="majorHAnsi" w:cstheme="majorHAnsi"/>
          <w:bCs/>
          <w:sz w:val="24"/>
          <w:szCs w:val="24"/>
          <w:lang w:val="pt-BR" w:eastAsia="pt-BR"/>
        </w:rPr>
        <w:t>2</w:t>
      </w:r>
      <w:r w:rsidR="0021162C" w:rsidRPr="002670A5">
        <w:rPr>
          <w:rFonts w:asciiTheme="majorHAnsi" w:eastAsia="Times New Roman" w:hAnsiTheme="majorHAnsi" w:cstheme="majorHAnsi"/>
          <w:bCs/>
          <w:sz w:val="24"/>
          <w:szCs w:val="24"/>
          <w:lang w:val="pt-BR" w:eastAsia="pt-BR"/>
        </w:rPr>
        <w:t>.</w:t>
      </w:r>
      <w:r w:rsidR="00C40014" w:rsidRPr="002670A5">
        <w:rPr>
          <w:rFonts w:asciiTheme="majorHAnsi" w:eastAsia="Times New Roman" w:hAnsiTheme="majorHAnsi" w:cstheme="majorHAnsi"/>
          <w:bCs/>
          <w:sz w:val="24"/>
          <w:szCs w:val="24"/>
          <w:lang w:val="pt-BR" w:eastAsia="pt-BR"/>
        </w:rPr>
        <w:t>4</w:t>
      </w:r>
      <w:r w:rsidR="003002BF" w:rsidRPr="002670A5">
        <w:rPr>
          <w:rFonts w:asciiTheme="majorHAnsi" w:eastAsia="Times New Roman" w:hAnsiTheme="majorHAnsi" w:cstheme="majorHAnsi"/>
          <w:bCs/>
          <w:sz w:val="24"/>
          <w:szCs w:val="24"/>
          <w:lang w:val="pt-BR" w:eastAsia="pt-BR"/>
        </w:rPr>
        <w:t>.</w:t>
      </w:r>
      <w:r w:rsidR="00C40014" w:rsidRPr="002670A5">
        <w:rPr>
          <w:rFonts w:asciiTheme="majorHAnsi" w:eastAsia="Times New Roman" w:hAnsiTheme="majorHAnsi" w:cstheme="majorHAnsi"/>
          <w:bCs/>
          <w:sz w:val="24"/>
          <w:szCs w:val="24"/>
          <w:lang w:val="pt-BR" w:eastAsia="pt-BR"/>
        </w:rPr>
        <w:t>1</w:t>
      </w:r>
      <w:r w:rsidR="003002BF" w:rsidRPr="002670A5">
        <w:rPr>
          <w:rFonts w:asciiTheme="majorHAnsi" w:eastAsia="Times New Roman" w:hAnsiTheme="majorHAnsi" w:cstheme="majorHAnsi"/>
          <w:bCs/>
          <w:sz w:val="24"/>
          <w:szCs w:val="24"/>
          <w:lang w:val="pt-BR" w:eastAsia="pt-BR"/>
        </w:rPr>
        <w:t xml:space="preserve"> Farmacodinâmica, Risco dos Medicamentos de Alta Vigilância (MAV), Erro Humano e Implicações Profissionais</w:t>
      </w:r>
    </w:p>
    <w:p w14:paraId="7B73702B"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A fundamentação científica da dupla checagem na administração de medicamentos está diretamente relacionada à farmacodinâmica dos medicamentos de alta vigilância (MAV), os quais apresentam janela terapêutica estreita, ou seja, pequena margem entre a dose terapêutica e a dose tóxica. Essa característica torna esses fármacos altamente sensíveis a erros de administração, podendo gerar consequências clínicas graves e imediatas.</w:t>
      </w:r>
    </w:p>
    <w:p w14:paraId="16A31A42"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Medicamentos como a insulina, por exemplo, quando administrados em dose inadequada, podem provocar hipoglicemia severa, perda de consciência e coma em curto espaço de tempo. Da mesma forma, o cloreto de potássio (KCl) concentrado, quando administrado de forma incorreta, pode levar à parada cardiorrespiratória, evidenciando o elevado potencial de risco desses medicamentos. Nesse contexto, a dupla checagem atua como uma importante barreira de segurança baseada no princípio da redundância, reduzindo significativamente a probabilidade de falhas na cadeia medicamentosa.</w:t>
      </w:r>
    </w:p>
    <w:p w14:paraId="0A331A8A"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Do ponto de vista estatístico, essa estratégia pode ser compreendida como um mecanismo de redução de risco cumulativo. Considerando uma probabilidade hipotética de erro individual de 1% (0,01), a realização independente da checagem por dois profissionais reduz essa probabilidade para 0,01% (0,01 × 0,01 = 0,0001), demonstrando o impacto da redundância na mitigação de eventos adversos.</w:t>
      </w:r>
    </w:p>
    <w:p w14:paraId="658DDB53"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Paralelamente, a ocorrência de erros na enfermagem é amplamente explicada pela Teoria do Erro Humano, que os classifica predominantemente como falhas cognitivas, sendo os </w:t>
      </w:r>
      <w:r w:rsidRPr="002670A5">
        <w:rPr>
          <w:rFonts w:asciiTheme="majorHAnsi" w:eastAsia="Times New Roman" w:hAnsiTheme="majorHAnsi" w:cstheme="majorHAnsi"/>
          <w:i/>
          <w:iCs/>
          <w:sz w:val="24"/>
          <w:szCs w:val="24"/>
          <w:lang w:val="pt-BR" w:eastAsia="pt-BR"/>
        </w:rPr>
        <w:t>lapses</w:t>
      </w:r>
      <w:r w:rsidRPr="002670A5">
        <w:rPr>
          <w:rFonts w:asciiTheme="majorHAnsi" w:eastAsia="Times New Roman" w:hAnsiTheme="majorHAnsi" w:cstheme="majorHAnsi"/>
          <w:sz w:val="24"/>
          <w:szCs w:val="24"/>
          <w:lang w:val="pt-BR" w:eastAsia="pt-BR"/>
        </w:rPr>
        <w:t xml:space="preserve"> (lapsos de memória) e os </w:t>
      </w:r>
      <w:r w:rsidRPr="002670A5">
        <w:rPr>
          <w:rFonts w:asciiTheme="majorHAnsi" w:eastAsia="Times New Roman" w:hAnsiTheme="majorHAnsi" w:cstheme="majorHAnsi"/>
          <w:i/>
          <w:iCs/>
          <w:sz w:val="24"/>
          <w:szCs w:val="24"/>
          <w:lang w:val="pt-BR" w:eastAsia="pt-BR"/>
        </w:rPr>
        <w:t>slips</w:t>
      </w:r>
      <w:r w:rsidRPr="002670A5">
        <w:rPr>
          <w:rFonts w:asciiTheme="majorHAnsi" w:eastAsia="Times New Roman" w:hAnsiTheme="majorHAnsi" w:cstheme="majorHAnsi"/>
          <w:sz w:val="24"/>
          <w:szCs w:val="24"/>
          <w:lang w:val="pt-BR" w:eastAsia="pt-BR"/>
        </w:rPr>
        <w:t xml:space="preserve"> (erros de execução) os mais frequentes. Esses eventos ocorrem quando há discrepância entre a intenção do profissional e a ação efetivamente realizada, mesmo na presença de conhecimento técnico adequado.</w:t>
      </w:r>
    </w:p>
    <w:p w14:paraId="0E23EC07"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No ambiente assistencial, fatores como fadiga, sobrecarga de trabalho, privação de sono e variações do ritmo circadiano impactam diretamente o desempenho cognitivo, </w:t>
      </w:r>
      <w:r w:rsidRPr="002670A5">
        <w:rPr>
          <w:rFonts w:asciiTheme="majorHAnsi" w:eastAsia="Times New Roman" w:hAnsiTheme="majorHAnsi" w:cstheme="majorHAnsi"/>
          <w:sz w:val="24"/>
          <w:szCs w:val="24"/>
          <w:lang w:val="pt-BR" w:eastAsia="pt-BR"/>
        </w:rPr>
        <w:lastRenderedPageBreak/>
        <w:t>especialmente em plantões noturnos. Essas condições reduzem a atenção sustentada e favorecem o fenômeno da “cegueira por desatenção”, no qual estímulos relevantes deixam de ser percebidos devido ao excesso de demandas simultâneas.</w:t>
      </w:r>
    </w:p>
    <w:p w14:paraId="13227919"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Além disso, evidências em segurança do paciente demonstram que cada interrupção durante processos críticos, como preparo e administração de medicamentos, pode aumentar significativamente o risco de erro, estimando-se um acréscimo aproximado de 12,1% a cada quebra de concentração. Esse dado reforça a importância da organização do ambiente de trabalho e da implementação de estratégias de minimização de interrupções como medidas essenciais de segurança.</w:t>
      </w:r>
    </w:p>
    <w:p w14:paraId="2C8C8289"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Nesse cenário, a dupla checagem atua não apenas como um procedimento técnico, mas como um mecanismo de interrupção do automatismo cognitivo, frequentemente descrito como “modo piloto automático”. Ao exigir a reavaliação consciente da prescrição, essa estratégia favorece a atenção aos detalhes, reduz a execução mecânica das tarefas e contribui para a prevenção de erros evitáveis. Dessa forma, a compreensão dos fatores farmacológicos, cognitivos e organizacionais envolvidos no processo medicamentoso é fundamental para o fortalecimento da cultura de segurança do paciente.</w:t>
      </w:r>
    </w:p>
    <w:p w14:paraId="25787C11" w14:textId="77777777" w:rsidR="003002BF" w:rsidRPr="002670A5" w:rsidRDefault="003002BF" w:rsidP="00ED0DB4">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Por fim, considerando que a enfermagem frequentemente ocupa a posição de última barreira na cadeia de administração medicamentosa, a dupla verificação também assume relevância ética, profissional e jurídica. Sua aplicação protege tanto o paciente quanto o profissional de enfermagem, incluindo o respaldo ao registro profissional junto aos Conselhos Regionais de Enfermagem (COREN). Em situações de eventos adversos e processos de judicialização, a adesão rigorosa aos protocolos estabelecidos constitui evidência de boa prática assistencial, zelo técnico e responsabilidade profissional, sendo essencial para a defesa ética e legal da atuação em enfermagem.</w:t>
      </w:r>
    </w:p>
    <w:p w14:paraId="1A3C57CB" w14:textId="71141C08" w:rsidR="00376E13" w:rsidRPr="002670A5" w:rsidRDefault="00ED0DB4" w:rsidP="00376E13">
      <w:pPr>
        <w:jc w:val="both"/>
        <w:rPr>
          <w:rFonts w:asciiTheme="majorHAnsi" w:hAnsiTheme="majorHAnsi" w:cstheme="majorHAnsi"/>
          <w:b/>
          <w:sz w:val="24"/>
          <w:szCs w:val="24"/>
        </w:rPr>
      </w:pPr>
      <w:r w:rsidRPr="002670A5">
        <w:rPr>
          <w:rFonts w:asciiTheme="majorHAnsi" w:hAnsiTheme="majorHAnsi" w:cstheme="majorHAnsi"/>
          <w:sz w:val="24"/>
          <w:szCs w:val="24"/>
        </w:rPr>
        <w:br/>
      </w:r>
      <w:r w:rsidR="00D22CD9" w:rsidRPr="002670A5">
        <w:rPr>
          <w:rFonts w:asciiTheme="majorHAnsi" w:hAnsiTheme="majorHAnsi" w:cstheme="majorHAnsi"/>
          <w:b/>
          <w:sz w:val="24"/>
          <w:szCs w:val="24"/>
        </w:rPr>
        <w:t>3</w:t>
      </w:r>
      <w:r w:rsidR="003002BF" w:rsidRPr="002670A5">
        <w:rPr>
          <w:rFonts w:asciiTheme="majorHAnsi" w:hAnsiTheme="majorHAnsi" w:cstheme="majorHAnsi"/>
          <w:b/>
          <w:sz w:val="24"/>
          <w:szCs w:val="24"/>
        </w:rPr>
        <w:t xml:space="preserve">. CONCLUSÃO </w:t>
      </w:r>
    </w:p>
    <w:p w14:paraId="06B03900" w14:textId="77777777"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color w:val="000000"/>
          <w:sz w:val="24"/>
          <w:szCs w:val="24"/>
          <w:lang w:eastAsia="pt-BR"/>
        </w:rPr>
        <w:t xml:space="preserve">A presente pesquisa evidenciou que a segurança do paciente no processo de administração de medicamentos transcende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execução meramente técnica, configurando-se como um compromisso ético, científico e sistêmico inerente à prática de enfermagem. Nesse contexto,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análise da farmacodinâmica dos Medicamentos de Alta Vigilância (MAV) demonstrou que a estreita margem entre a dose terapêutica e a dose tóxica exige rigor absoluto nas etapas de preparo, conferência e administração, uma vez que eventuais falhas podem resultar em eventos graves e potencialmente fatais, como hipoglicemia severa associada ao uso de insulina ou parada cardiorrespiratória decorrente da aplicação inadequada de cloreto de potássio.</w:t>
      </w:r>
    </w:p>
    <w:p w14:paraId="318778D0" w14:textId="77777777"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color w:val="000000"/>
          <w:sz w:val="24"/>
          <w:szCs w:val="24"/>
          <w:lang w:eastAsia="pt-BR"/>
        </w:rPr>
        <w:lastRenderedPageBreak/>
        <w:t>Verificou-se que a dupla checagem, compreendida como uma barreira de segurança essencial atua na redução significativa da probabilidade de erros ao introduzir o princípio da redundância no processo decisório, especialmente em situações clínicas de maior complexidade ou risco. Sua efetividade, entretanto, não se esgota na formalização do protocolo, mas depende diretamente da adesão consciente dos profissionais e da interrupção do chamado piloto automático cognitivo, promovendo uma análise crítica e reflexiva de cada etapa da prescrição e da administração medicamentosa.</w:t>
      </w:r>
    </w:p>
    <w:p w14:paraId="353285CD" w14:textId="77777777"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color w:val="000000"/>
          <w:sz w:val="24"/>
          <w:szCs w:val="24"/>
          <w:lang w:eastAsia="pt-BR"/>
        </w:rPr>
        <w:t xml:space="preserve">A discussão fundamentada na teoria do erro humano reforçou que as falhas na assistência de enfermagem são, em grande parte, decorrentes de limitações e processos cognitivos, como lapsos de memória e erros de execução, frequentemente potencializados por condições adversas de trabalho: fadiga, sobrecarga de atividades, alterações no ritmo circadiano e interrupções constantes durante tarefas críticas. Tais elementos favorecem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ocorrência da cegueira por desatenção, fenômeno que aumenta a vulnerabilidade do processo assistencial e justifica a necessidade de estratégias institucionais voltadas à minimização de distrações e à organização racional do fluxo de trabalho.</w:t>
      </w:r>
    </w:p>
    <w:p w14:paraId="6E43D2D3" w14:textId="77777777"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color w:val="000000"/>
          <w:sz w:val="24"/>
          <w:szCs w:val="24"/>
          <w:lang w:eastAsia="pt-BR"/>
        </w:rPr>
        <w:t xml:space="preserve">Além disso, os desafios de ordem organizacional evidenciaram que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eficácia das barreiras de segurança não é isolada, mas depende diretamente das condições do ambiente laboral. A sobrecarga assistencial, o dimensionamento inadequado de pessoal 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execução mecânica dos procedimentos podem transformar um mecanismo de proteção indispensável em mera formalidade burocrática, comprometendo seu propósito original. Nesse sentido, destaca-se que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aplicação automatizada de protocolos, desvinculada de reflexão crítica, reduz substancialmente sua efetividade e fragiliza a segurança do paciente.</w:t>
      </w:r>
    </w:p>
    <w:p w14:paraId="3AFBE230" w14:textId="77777777" w:rsidR="003300D7" w:rsidRPr="002670A5" w:rsidRDefault="003300D7" w:rsidP="003300D7">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color w:val="000000"/>
          <w:sz w:val="24"/>
          <w:szCs w:val="24"/>
          <w:lang w:eastAsia="pt-BR"/>
        </w:rPr>
        <w:t>Dessa forma, torna-se imprescindível a consolidação de uma cultura institucional de segurança, fundamentada na educação permanente e continuada, com foco não apenas na atualização técnica, mas também no fortalecimento do raciocínio clínico, da responsabilidade profissional e da comunicação efetiva entre os membros da equipe multiprofissional. Ambientes geridos sob a perspectiva da cultura justa — não punitivos, que incentivam a notificação de incidentes e de quase-erros (</w:t>
      </w:r>
      <w:r w:rsidRPr="002670A5">
        <w:rPr>
          <w:rFonts w:asciiTheme="majorHAnsi" w:eastAsia="Times New Roman" w:hAnsiTheme="majorHAnsi" w:cstheme="majorHAnsi"/>
          <w:i/>
          <w:iCs/>
          <w:color w:val="000000"/>
          <w:sz w:val="24"/>
          <w:szCs w:val="24"/>
          <w:lang w:eastAsia="pt-BR"/>
        </w:rPr>
        <w:t>near misses</w:t>
      </w:r>
      <w:r w:rsidRPr="002670A5">
        <w:rPr>
          <w:rFonts w:asciiTheme="majorHAnsi" w:eastAsia="Times New Roman" w:hAnsiTheme="majorHAnsi" w:cstheme="majorHAnsi"/>
          <w:color w:val="000000"/>
          <w:sz w:val="24"/>
          <w:szCs w:val="24"/>
          <w:lang w:eastAsia="pt-BR"/>
        </w:rPr>
        <w:t>) — contribuem significativamente para o aprimoramento contínuo dos processos assistenciais e para a prevenção de danos evitáveis.</w:t>
      </w:r>
    </w:p>
    <w:p w14:paraId="52EADAB0" w14:textId="4C77FF4C" w:rsidR="001C7EE6" w:rsidRPr="002670A5" w:rsidRDefault="003300D7" w:rsidP="003300D7">
      <w:pPr>
        <w:spacing w:after="0" w:line="360" w:lineRule="atLeast"/>
        <w:jc w:val="both"/>
        <w:rPr>
          <w:rFonts w:asciiTheme="majorHAnsi" w:eastAsia="Times New Roman" w:hAnsiTheme="majorHAnsi" w:cstheme="majorHAnsi"/>
          <w:bCs/>
          <w:sz w:val="24"/>
          <w:szCs w:val="24"/>
          <w:lang w:val="pt-BR" w:eastAsia="pt-BR"/>
        </w:rPr>
      </w:pPr>
      <w:r w:rsidRPr="002670A5">
        <w:rPr>
          <w:rFonts w:asciiTheme="majorHAnsi" w:eastAsia="Times New Roman" w:hAnsiTheme="majorHAnsi" w:cstheme="majorHAnsi"/>
          <w:color w:val="000000"/>
          <w:sz w:val="24"/>
          <w:szCs w:val="24"/>
          <w:lang w:eastAsia="pt-BR"/>
        </w:rPr>
        <w:t xml:space="preserve">Por fim, conclui-se que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excelência na administração de medicamentos está intrinsecamente relacionada à integração harmoniosa entre conhecimento técnico, consciência cognitiva e estrutura organizacional adequada. Nesse cenário,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w:t>
      </w:r>
      <w:r w:rsidRPr="002670A5">
        <w:rPr>
          <w:rFonts w:asciiTheme="majorHAnsi" w:eastAsia="Times New Roman" w:hAnsiTheme="majorHAnsi" w:cstheme="majorHAnsi"/>
          <w:color w:val="000000"/>
          <w:sz w:val="24"/>
          <w:szCs w:val="24"/>
          <w:lang w:eastAsia="pt-BR"/>
        </w:rPr>
        <w:lastRenderedPageBreak/>
        <w:t xml:space="preserve">enfermagem se firma como a última e mais importante barreira de segurança do paciente.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adesão rigorosa aos protocolos estabelecidos, aliada à valorização do trabalho em equipe e à formação continuada, assegura não apenas a integridade e a segurança do usuário do sistema de saúde, mas também a proteção ética e legal do profissional, consolidando a enfermagem como uma prática científica comprometida com a qualidade, a segurança e a vida.</w:t>
      </w:r>
    </w:p>
    <w:p w14:paraId="317C8409" w14:textId="054C15BE" w:rsidR="00AF5980" w:rsidRPr="002670A5" w:rsidRDefault="00AF5980" w:rsidP="00AF5980">
      <w:pPr>
        <w:spacing w:before="100" w:beforeAutospacing="1" w:after="100" w:afterAutospacing="1" w:line="240" w:lineRule="auto"/>
        <w:jc w:val="both"/>
        <w:outlineLvl w:val="2"/>
        <w:rPr>
          <w:rFonts w:asciiTheme="majorHAnsi" w:eastAsia="Times New Roman" w:hAnsiTheme="majorHAnsi" w:cstheme="majorHAnsi"/>
          <w:b/>
          <w:bCs/>
          <w:sz w:val="24"/>
          <w:szCs w:val="24"/>
          <w:lang w:val="pt-BR" w:eastAsia="pt-BR"/>
        </w:rPr>
      </w:pPr>
      <w:r w:rsidRPr="002670A5">
        <w:rPr>
          <w:rFonts w:asciiTheme="majorHAnsi" w:eastAsia="Times New Roman" w:hAnsiTheme="majorHAnsi" w:cstheme="majorHAnsi"/>
          <w:b/>
          <w:bCs/>
          <w:sz w:val="24"/>
          <w:szCs w:val="24"/>
          <w:lang w:val="pt-BR" w:eastAsia="pt-BR"/>
        </w:rPr>
        <w:t>ABSTRACT</w:t>
      </w:r>
    </w:p>
    <w:p w14:paraId="10E22DEE" w14:textId="77777777" w:rsidR="00AF5980" w:rsidRPr="002670A5" w:rsidRDefault="00AF5980" w:rsidP="00AF5980">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sz w:val="24"/>
          <w:szCs w:val="24"/>
          <w:lang w:val="pt-BR" w:eastAsia="pt-BR"/>
        </w:rPr>
        <w:t xml:space="preserve">Patient safety has established itself as one of the non-negotiable pillars of healthcare quality in contemporary health services, with the mitigation of adverse events being a priority on the agendas of global hospital organizations. In the complex scenario of therapy administration, the double-check strategy emerges as a critical safety barrier and a tool for intercepting errors that can severely compromise patient integrity. This practice is based on independent and concomitant verification performed by two health professionals, aiming to ensure rigorous compliance with the "rights" of medication (correct patient, medication, dose, route, and time). Medication error must be understood as a multicausal phenomenon, derived from failures in processes and communication. The implementation of redundant verification protocols is essential to neutralize vulnerabilities inherent in high-pressure environments and excessive workloads, acting as a dense layer of protection that prevents a latent failure from turning into actual harm, according to James Reason's "Swiss Cheese Theory". In addition to protecting the ill, the practice strengthens the legal and ethical safety of the nursing professional, aligning with the ethical and legal duty to guarantee assistance free from negligence, malpractice, or imprudence, as highlighted by the Federal Nursing Council (COFEN). Literature points out that double-checking is vital in the management of High-Alert Medications (HAM), where the margin of error is minimal and consequences can be fatal. It is concluded that double-checking, when integrated into well-structured workflows and supported by an organizational safety culture and continuing education, becomes an indispensable device for care excellence and for the consolidation of a more resilient and humane health system. </w:t>
      </w:r>
    </w:p>
    <w:p w14:paraId="5008C313" w14:textId="7632ED47" w:rsidR="00AF5980" w:rsidRPr="002670A5" w:rsidRDefault="00AF5980" w:rsidP="00AF5980">
      <w:pPr>
        <w:spacing w:before="100" w:beforeAutospacing="1" w:after="100" w:afterAutospacing="1" w:line="240" w:lineRule="auto"/>
        <w:jc w:val="both"/>
        <w:rPr>
          <w:rFonts w:asciiTheme="majorHAnsi" w:eastAsia="Times New Roman" w:hAnsiTheme="majorHAnsi" w:cstheme="majorHAnsi"/>
          <w:sz w:val="24"/>
          <w:szCs w:val="24"/>
          <w:lang w:val="pt-BR" w:eastAsia="pt-BR"/>
        </w:rPr>
      </w:pPr>
      <w:r w:rsidRPr="002670A5">
        <w:rPr>
          <w:rFonts w:asciiTheme="majorHAnsi" w:eastAsia="Times New Roman" w:hAnsiTheme="majorHAnsi" w:cstheme="majorHAnsi"/>
          <w:bCs/>
          <w:sz w:val="24"/>
          <w:szCs w:val="24"/>
          <w:lang w:val="pt-BR" w:eastAsia="pt-BR"/>
        </w:rPr>
        <w:t>Keywords:</w:t>
      </w:r>
      <w:r w:rsidRPr="002670A5">
        <w:rPr>
          <w:rFonts w:asciiTheme="majorHAnsi" w:eastAsia="Times New Roman" w:hAnsiTheme="majorHAnsi" w:cstheme="majorHAnsi"/>
          <w:sz w:val="24"/>
          <w:szCs w:val="24"/>
          <w:lang w:val="pt-BR" w:eastAsia="pt-BR"/>
        </w:rPr>
        <w:t xml:space="preserve"> Patient Safety. Nursing Care. Medication Errors. Double-</w:t>
      </w:r>
      <w:r w:rsidR="00060A26" w:rsidRPr="002670A5">
        <w:rPr>
          <w:rFonts w:asciiTheme="majorHAnsi" w:eastAsia="Times New Roman" w:hAnsiTheme="majorHAnsi" w:cstheme="majorHAnsi"/>
          <w:sz w:val="24"/>
          <w:szCs w:val="24"/>
          <w:lang w:val="pt-BR" w:eastAsia="pt-BR"/>
        </w:rPr>
        <w:t>C</w:t>
      </w:r>
      <w:r w:rsidRPr="002670A5">
        <w:rPr>
          <w:rFonts w:asciiTheme="majorHAnsi" w:eastAsia="Times New Roman" w:hAnsiTheme="majorHAnsi" w:cstheme="majorHAnsi"/>
          <w:sz w:val="24"/>
          <w:szCs w:val="24"/>
          <w:lang w:val="pt-BR" w:eastAsia="pt-BR"/>
        </w:rPr>
        <w:t xml:space="preserve">heck. Hospital Risk Management. </w:t>
      </w:r>
    </w:p>
    <w:p w14:paraId="3544B8CC" w14:textId="3AC780BD" w:rsidR="00034909" w:rsidRPr="002670A5" w:rsidRDefault="00D22CD9" w:rsidP="00ED0DB4">
      <w:pPr>
        <w:jc w:val="both"/>
        <w:rPr>
          <w:rFonts w:asciiTheme="majorHAnsi" w:hAnsiTheme="majorHAnsi" w:cstheme="majorHAnsi"/>
          <w:b/>
          <w:sz w:val="24"/>
          <w:szCs w:val="24"/>
        </w:rPr>
      </w:pPr>
      <w:r w:rsidRPr="002670A5">
        <w:rPr>
          <w:rFonts w:asciiTheme="majorHAnsi" w:hAnsiTheme="majorHAnsi" w:cstheme="majorHAnsi"/>
          <w:b/>
          <w:sz w:val="24"/>
          <w:szCs w:val="24"/>
        </w:rPr>
        <w:t>4</w:t>
      </w:r>
      <w:r w:rsidR="003002BF" w:rsidRPr="002670A5">
        <w:rPr>
          <w:rFonts w:asciiTheme="majorHAnsi" w:hAnsiTheme="majorHAnsi" w:cstheme="majorHAnsi"/>
          <w:b/>
          <w:sz w:val="24"/>
          <w:szCs w:val="24"/>
        </w:rPr>
        <w:t>. REFERÊNCIAS</w:t>
      </w:r>
    </w:p>
    <w:p w14:paraId="0A726C52"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ANVISA. Agência Nacional de Vigilância Sanitária. </w:t>
      </w:r>
      <w:r w:rsidRPr="002670A5">
        <w:rPr>
          <w:rFonts w:asciiTheme="majorHAnsi" w:eastAsia="Times New Roman" w:hAnsiTheme="majorHAnsi" w:cstheme="majorHAnsi"/>
          <w:i/>
          <w:iCs/>
          <w:sz w:val="24"/>
          <w:szCs w:val="24"/>
          <w:lang w:eastAsia="pt-BR"/>
        </w:rPr>
        <w:t>Assistência Segura: Uma Reflexão Teórica Aplicada à Prática</w:t>
      </w:r>
      <w:r w:rsidRPr="002670A5">
        <w:rPr>
          <w:rFonts w:asciiTheme="majorHAnsi" w:eastAsia="Times New Roman" w:hAnsiTheme="majorHAnsi" w:cstheme="majorHAnsi"/>
          <w:sz w:val="24"/>
          <w:szCs w:val="24"/>
          <w:lang w:eastAsia="pt-BR"/>
        </w:rPr>
        <w:t xml:space="preserve">. Brasília: ANVISA, 2017. Disponível em: </w:t>
      </w:r>
      <w:hyperlink r:id="rId8" w:tgtFrame="_blank" w:history="1">
        <w:r w:rsidRPr="002670A5">
          <w:rPr>
            <w:rFonts w:asciiTheme="majorHAnsi" w:eastAsia="Times New Roman" w:hAnsiTheme="majorHAnsi" w:cstheme="majorHAnsi"/>
            <w:sz w:val="24"/>
            <w:szCs w:val="24"/>
            <w:u w:val="single"/>
            <w:lang w:eastAsia="pt-BR"/>
          </w:rPr>
          <w:t>https://www.gov.br/anvisa</w:t>
        </w:r>
      </w:hyperlink>
      <w:r w:rsidRPr="002670A5">
        <w:rPr>
          <w:rFonts w:asciiTheme="majorHAnsi" w:eastAsia="Times New Roman" w:hAnsiTheme="majorHAnsi" w:cstheme="majorHAnsi"/>
          <w:sz w:val="24"/>
          <w:szCs w:val="24"/>
          <w:lang w:eastAsia="pt-BR"/>
        </w:rPr>
        <w:t>. Acesso em: 08 abr. 2026, às 14:05.</w:t>
      </w:r>
    </w:p>
    <w:p w14:paraId="62B23897"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lastRenderedPageBreak/>
        <w:t xml:space="preserve">BRASIL. Ministério da Saúde. </w:t>
      </w:r>
      <w:r w:rsidRPr="002670A5">
        <w:rPr>
          <w:rFonts w:asciiTheme="majorHAnsi" w:eastAsia="Times New Roman" w:hAnsiTheme="majorHAnsi" w:cstheme="majorHAnsi"/>
          <w:i/>
          <w:iCs/>
          <w:sz w:val="24"/>
          <w:szCs w:val="24"/>
          <w:lang w:eastAsia="pt-BR"/>
        </w:rPr>
        <w:t>Protocolo de segurança na prescrição, uso e administração de medicamentos</w:t>
      </w:r>
      <w:r w:rsidRPr="002670A5">
        <w:rPr>
          <w:rFonts w:asciiTheme="majorHAnsi" w:eastAsia="Times New Roman" w:hAnsiTheme="majorHAnsi" w:cstheme="majorHAnsi"/>
          <w:sz w:val="24"/>
          <w:szCs w:val="24"/>
          <w:lang w:eastAsia="pt-BR"/>
        </w:rPr>
        <w:t xml:space="preserve">. Brasília: Ministério da Saúde, 2024. Disponível em: </w:t>
      </w:r>
      <w:hyperlink r:id="rId9" w:tgtFrame="_blank" w:history="1">
        <w:r w:rsidRPr="002670A5">
          <w:rPr>
            <w:rFonts w:asciiTheme="majorHAnsi" w:eastAsia="Times New Roman" w:hAnsiTheme="majorHAnsi" w:cstheme="majorHAnsi"/>
            <w:sz w:val="24"/>
            <w:szCs w:val="24"/>
            <w:u w:val="single"/>
            <w:lang w:eastAsia="pt-BR"/>
          </w:rPr>
          <w:t>https://www.gov.br/saude</w:t>
        </w:r>
      </w:hyperlink>
      <w:r w:rsidRPr="002670A5">
        <w:rPr>
          <w:rFonts w:asciiTheme="majorHAnsi" w:eastAsia="Times New Roman" w:hAnsiTheme="majorHAnsi" w:cstheme="majorHAnsi"/>
          <w:sz w:val="24"/>
          <w:szCs w:val="24"/>
          <w:lang w:eastAsia="pt-BR"/>
        </w:rPr>
        <w:t>. Acesso em: 08 abr. 2026, às 14:30.</w:t>
      </w:r>
    </w:p>
    <w:p w14:paraId="6A31D889"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CASSIANI, S. H. B.; SILVA, A. E. B. C. </w:t>
      </w:r>
      <w:r w:rsidRPr="002670A5">
        <w:rPr>
          <w:rFonts w:asciiTheme="majorHAnsi" w:eastAsia="Times New Roman" w:hAnsiTheme="majorHAnsi" w:cstheme="majorHAnsi"/>
          <w:i/>
          <w:iCs/>
          <w:sz w:val="24"/>
          <w:szCs w:val="24"/>
          <w:lang w:eastAsia="pt-BR"/>
        </w:rPr>
        <w:t>Segurança do paciente: conceitos e práticas</w:t>
      </w:r>
      <w:r w:rsidRPr="002670A5">
        <w:rPr>
          <w:rFonts w:asciiTheme="majorHAnsi" w:eastAsia="Times New Roman" w:hAnsiTheme="majorHAnsi" w:cstheme="majorHAnsi"/>
          <w:sz w:val="24"/>
          <w:szCs w:val="24"/>
          <w:lang w:eastAsia="pt-BR"/>
        </w:rPr>
        <w:t xml:space="preserve">. 2. ed. São Paulo: Elsevier, 2022. Disponível em: </w:t>
      </w:r>
      <w:hyperlink r:id="rId10" w:tgtFrame="_blank" w:history="1">
        <w:r w:rsidRPr="002670A5">
          <w:rPr>
            <w:rFonts w:asciiTheme="majorHAnsi" w:eastAsia="Times New Roman" w:hAnsiTheme="majorHAnsi" w:cstheme="majorHAnsi"/>
            <w:sz w:val="24"/>
            <w:szCs w:val="24"/>
            <w:u w:val="single"/>
            <w:lang w:eastAsia="pt-BR"/>
          </w:rPr>
          <w:t>https://www.elsevier.com.br</w:t>
        </w:r>
      </w:hyperlink>
      <w:r w:rsidRPr="002670A5">
        <w:rPr>
          <w:rFonts w:asciiTheme="majorHAnsi" w:eastAsia="Times New Roman" w:hAnsiTheme="majorHAnsi" w:cstheme="majorHAnsi"/>
          <w:sz w:val="24"/>
          <w:szCs w:val="24"/>
          <w:lang w:eastAsia="pt-BR"/>
        </w:rPr>
        <w:t>. Acesso em: 08 abr. 2026, às 16:20.</w:t>
      </w:r>
    </w:p>
    <w:p w14:paraId="154CFE40"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CONSELHO FEDERAL DE ENFERMAGEM (COFEN). </w:t>
      </w:r>
      <w:r w:rsidRPr="002670A5">
        <w:rPr>
          <w:rFonts w:asciiTheme="majorHAnsi" w:eastAsia="Times New Roman" w:hAnsiTheme="majorHAnsi" w:cstheme="majorHAnsi"/>
          <w:i/>
          <w:iCs/>
          <w:sz w:val="24"/>
          <w:szCs w:val="24"/>
          <w:lang w:eastAsia="pt-BR"/>
        </w:rPr>
        <w:t>Guia de Prática Clínica: administração de medicamentos</w:t>
      </w:r>
      <w:r w:rsidRPr="002670A5">
        <w:rPr>
          <w:rFonts w:asciiTheme="majorHAnsi" w:eastAsia="Times New Roman" w:hAnsiTheme="majorHAnsi" w:cstheme="majorHAnsi"/>
          <w:sz w:val="24"/>
          <w:szCs w:val="24"/>
          <w:lang w:eastAsia="pt-BR"/>
        </w:rPr>
        <w:t xml:space="preserve">. Brasília: COFEN, 2023. Disponível em: </w:t>
      </w:r>
      <w:hyperlink r:id="rId11" w:tgtFrame="_blank" w:history="1">
        <w:r w:rsidRPr="002670A5">
          <w:rPr>
            <w:rFonts w:asciiTheme="majorHAnsi" w:eastAsia="Times New Roman" w:hAnsiTheme="majorHAnsi" w:cstheme="majorHAnsi"/>
            <w:sz w:val="24"/>
            <w:szCs w:val="24"/>
            <w:u w:val="single"/>
            <w:lang w:eastAsia="pt-BR"/>
          </w:rPr>
          <w:t>http://www.cofen.gov.br</w:t>
        </w:r>
      </w:hyperlink>
      <w:r w:rsidRPr="002670A5">
        <w:rPr>
          <w:rFonts w:asciiTheme="majorHAnsi" w:eastAsia="Times New Roman" w:hAnsiTheme="majorHAnsi" w:cstheme="majorHAnsi"/>
          <w:sz w:val="24"/>
          <w:szCs w:val="24"/>
          <w:lang w:eastAsia="pt-BR"/>
        </w:rPr>
        <w:t>. Acesso em: 08 abr. 2026, às 15:15.</w:t>
      </w:r>
    </w:p>
    <w:p w14:paraId="45C2A81A"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INSTITUTE OF MEDICINE (IOM). </w:t>
      </w:r>
      <w:r w:rsidRPr="002670A5">
        <w:rPr>
          <w:rFonts w:asciiTheme="majorHAnsi" w:eastAsia="Times New Roman" w:hAnsiTheme="majorHAnsi" w:cstheme="majorHAnsi"/>
          <w:i/>
          <w:iCs/>
          <w:sz w:val="24"/>
          <w:szCs w:val="24"/>
          <w:lang w:eastAsia="pt-BR"/>
        </w:rPr>
        <w:t>To Err is Human: Building a Safer Health System</w:t>
      </w:r>
      <w:r w:rsidRPr="002670A5">
        <w:rPr>
          <w:rFonts w:asciiTheme="majorHAnsi" w:eastAsia="Times New Roman" w:hAnsiTheme="majorHAnsi" w:cstheme="majorHAnsi"/>
          <w:sz w:val="24"/>
          <w:szCs w:val="24"/>
          <w:lang w:eastAsia="pt-BR"/>
        </w:rPr>
        <w:t xml:space="preserve">. Washington, DC: National Academy Press, 2000. Disponível em: </w:t>
      </w:r>
      <w:hyperlink r:id="rId12" w:tgtFrame="_blank" w:history="1">
        <w:r w:rsidRPr="002670A5">
          <w:rPr>
            <w:rFonts w:asciiTheme="majorHAnsi" w:eastAsia="Times New Roman" w:hAnsiTheme="majorHAnsi" w:cstheme="majorHAnsi"/>
            <w:sz w:val="24"/>
            <w:szCs w:val="24"/>
            <w:u w:val="single"/>
            <w:lang w:eastAsia="pt-BR"/>
          </w:rPr>
          <w:t>https://www.nap.edu</w:t>
        </w:r>
      </w:hyperlink>
      <w:r w:rsidRPr="002670A5">
        <w:rPr>
          <w:rFonts w:asciiTheme="majorHAnsi" w:eastAsia="Times New Roman" w:hAnsiTheme="majorHAnsi" w:cstheme="majorHAnsi"/>
          <w:sz w:val="24"/>
          <w:szCs w:val="24"/>
          <w:lang w:eastAsia="pt-BR"/>
        </w:rPr>
        <w:t>. Acesso em: 08 abr. 2026, às 17:40.</w:t>
      </w:r>
    </w:p>
    <w:p w14:paraId="57B7D8E4"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INSTITUTO PARA PRÁTICAS SEGURAS NO USO DE MEDICAMENTOS (ISMP BRASIL). </w:t>
      </w:r>
      <w:r w:rsidRPr="002670A5">
        <w:rPr>
          <w:rFonts w:asciiTheme="majorHAnsi" w:eastAsia="Times New Roman" w:hAnsiTheme="majorHAnsi" w:cstheme="majorHAnsi"/>
          <w:i/>
          <w:iCs/>
          <w:sz w:val="24"/>
          <w:szCs w:val="24"/>
          <w:lang w:eastAsia="pt-BR"/>
        </w:rPr>
        <w:t>Guia de boas práticas para o uso de medicamentos de alta vigilância</w:t>
      </w:r>
      <w:r w:rsidRPr="002670A5">
        <w:rPr>
          <w:rFonts w:asciiTheme="majorHAnsi" w:eastAsia="Times New Roman" w:hAnsiTheme="majorHAnsi" w:cstheme="majorHAnsi"/>
          <w:sz w:val="24"/>
          <w:szCs w:val="24"/>
          <w:lang w:eastAsia="pt-BR"/>
        </w:rPr>
        <w:t xml:space="preserve">. Belo Horizonte: ISMP, 2023. Disponível em: </w:t>
      </w:r>
      <w:hyperlink r:id="rId13" w:tgtFrame="_blank" w:history="1">
        <w:r w:rsidRPr="002670A5">
          <w:rPr>
            <w:rFonts w:asciiTheme="majorHAnsi" w:eastAsia="Times New Roman" w:hAnsiTheme="majorHAnsi" w:cstheme="majorHAnsi"/>
            <w:sz w:val="24"/>
            <w:szCs w:val="24"/>
            <w:u w:val="single"/>
            <w:lang w:eastAsia="pt-BR"/>
          </w:rPr>
          <w:t>https://www.ismp-brasil.org</w:t>
        </w:r>
      </w:hyperlink>
      <w:r w:rsidRPr="002670A5">
        <w:rPr>
          <w:rFonts w:asciiTheme="majorHAnsi" w:eastAsia="Times New Roman" w:hAnsiTheme="majorHAnsi" w:cstheme="majorHAnsi"/>
          <w:sz w:val="24"/>
          <w:szCs w:val="24"/>
          <w:lang w:eastAsia="pt-BR"/>
        </w:rPr>
        <w:t>. Acesso em: 08 abr. 2026, às 15:50.</w:t>
      </w:r>
    </w:p>
    <w:p w14:paraId="43088ECD"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ORGANIZAÇÃO MUNDIAL DA SAÚDE (OMS). </w:t>
      </w:r>
      <w:r w:rsidRPr="002670A5">
        <w:rPr>
          <w:rFonts w:asciiTheme="majorHAnsi" w:eastAsia="Times New Roman" w:hAnsiTheme="majorHAnsi" w:cstheme="majorHAnsi"/>
          <w:i/>
          <w:iCs/>
          <w:sz w:val="24"/>
          <w:szCs w:val="24"/>
          <w:lang w:eastAsia="pt-BR"/>
        </w:rPr>
        <w:t>World Alliance for Patient Safety: Forward Programme 2005</w:t>
      </w:r>
      <w:r w:rsidRPr="002670A5">
        <w:rPr>
          <w:rFonts w:asciiTheme="majorHAnsi" w:eastAsia="Times New Roman" w:hAnsiTheme="majorHAnsi" w:cstheme="majorHAnsi"/>
          <w:sz w:val="24"/>
          <w:szCs w:val="24"/>
          <w:lang w:eastAsia="pt-BR"/>
        </w:rPr>
        <w:t xml:space="preserve">. Geneva: WHO, 2005. Disponível em: </w:t>
      </w:r>
      <w:hyperlink r:id="rId14" w:tgtFrame="_blank" w:history="1">
        <w:r w:rsidRPr="002670A5">
          <w:rPr>
            <w:rFonts w:asciiTheme="majorHAnsi" w:eastAsia="Times New Roman" w:hAnsiTheme="majorHAnsi" w:cstheme="majorHAnsi"/>
            <w:sz w:val="24"/>
            <w:szCs w:val="24"/>
            <w:u w:val="single"/>
            <w:lang w:eastAsia="pt-BR"/>
          </w:rPr>
          <w:t>https://www.who.int</w:t>
        </w:r>
      </w:hyperlink>
      <w:r w:rsidRPr="002670A5">
        <w:rPr>
          <w:rFonts w:asciiTheme="majorHAnsi" w:eastAsia="Times New Roman" w:hAnsiTheme="majorHAnsi" w:cstheme="majorHAnsi"/>
          <w:sz w:val="24"/>
          <w:szCs w:val="24"/>
          <w:lang w:eastAsia="pt-BR"/>
        </w:rPr>
        <w:t>. Acesso em: 08 abr. 2026, às 17:10.</w:t>
      </w:r>
    </w:p>
    <w:p w14:paraId="3A5B1E7F"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REASON, James. </w:t>
      </w:r>
      <w:r w:rsidRPr="002670A5">
        <w:rPr>
          <w:rFonts w:asciiTheme="majorHAnsi" w:eastAsia="Times New Roman" w:hAnsiTheme="majorHAnsi" w:cstheme="majorHAnsi"/>
          <w:i/>
          <w:iCs/>
          <w:sz w:val="24"/>
          <w:szCs w:val="24"/>
          <w:lang w:eastAsia="pt-BR"/>
        </w:rPr>
        <w:t>Human Error</w:t>
      </w:r>
      <w:r w:rsidRPr="002670A5">
        <w:rPr>
          <w:rFonts w:asciiTheme="majorHAnsi" w:eastAsia="Times New Roman" w:hAnsiTheme="majorHAnsi" w:cstheme="majorHAnsi"/>
          <w:sz w:val="24"/>
          <w:szCs w:val="24"/>
          <w:lang w:eastAsia="pt-BR"/>
        </w:rPr>
        <w:t xml:space="preserve">. Cambridge: Cambridge University Press, 1990. Disponível em: </w:t>
      </w:r>
      <w:hyperlink r:id="rId15" w:tgtFrame="_blank" w:history="1">
        <w:r w:rsidRPr="002670A5">
          <w:rPr>
            <w:rFonts w:asciiTheme="majorHAnsi" w:eastAsia="Times New Roman" w:hAnsiTheme="majorHAnsi" w:cstheme="majorHAnsi"/>
            <w:sz w:val="24"/>
            <w:szCs w:val="24"/>
            <w:u w:val="single"/>
            <w:lang w:eastAsia="pt-BR"/>
          </w:rPr>
          <w:t>https://www.cambridge.org</w:t>
        </w:r>
      </w:hyperlink>
      <w:r w:rsidRPr="002670A5">
        <w:rPr>
          <w:rFonts w:asciiTheme="majorHAnsi" w:eastAsia="Times New Roman" w:hAnsiTheme="majorHAnsi" w:cstheme="majorHAnsi"/>
          <w:sz w:val="24"/>
          <w:szCs w:val="24"/>
          <w:lang w:eastAsia="pt-BR"/>
        </w:rPr>
        <w:t>. Acesso em: 08 abr. 2026, às 18:00.</w:t>
      </w:r>
    </w:p>
    <w:p w14:paraId="54ADC7AD" w14:textId="77777777"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REASON, James. </w:t>
      </w:r>
      <w:r w:rsidRPr="002670A5">
        <w:rPr>
          <w:rFonts w:asciiTheme="majorHAnsi" w:eastAsia="Times New Roman" w:hAnsiTheme="majorHAnsi" w:cstheme="majorHAnsi"/>
          <w:i/>
          <w:iCs/>
          <w:sz w:val="24"/>
          <w:szCs w:val="24"/>
          <w:lang w:eastAsia="pt-BR"/>
        </w:rPr>
        <w:t>Managing the Risks of Organizational Accidents</w:t>
      </w:r>
      <w:r w:rsidRPr="002670A5">
        <w:rPr>
          <w:rFonts w:asciiTheme="majorHAnsi" w:eastAsia="Times New Roman" w:hAnsiTheme="majorHAnsi" w:cstheme="majorHAnsi"/>
          <w:sz w:val="24"/>
          <w:szCs w:val="24"/>
          <w:lang w:eastAsia="pt-BR"/>
        </w:rPr>
        <w:t xml:space="preserve">. Aldershot: Ashgate Publishing, 1997. Disponível em: </w:t>
      </w:r>
      <w:hyperlink r:id="rId16" w:tgtFrame="_blank" w:history="1">
        <w:r w:rsidRPr="002670A5">
          <w:rPr>
            <w:rFonts w:asciiTheme="majorHAnsi" w:eastAsia="Times New Roman" w:hAnsiTheme="majorHAnsi" w:cstheme="majorHAnsi"/>
            <w:sz w:val="24"/>
            <w:szCs w:val="24"/>
            <w:u w:val="single"/>
            <w:lang w:eastAsia="pt-BR"/>
          </w:rPr>
          <w:t>https://www.routledge.com</w:t>
        </w:r>
      </w:hyperlink>
      <w:r w:rsidRPr="002670A5">
        <w:rPr>
          <w:rFonts w:asciiTheme="majorHAnsi" w:eastAsia="Times New Roman" w:hAnsiTheme="majorHAnsi" w:cstheme="majorHAnsi"/>
          <w:sz w:val="24"/>
          <w:szCs w:val="24"/>
          <w:lang w:eastAsia="pt-BR"/>
        </w:rPr>
        <w:t>. Acesso em: 08 abr. 2026, às 18:15.</w:t>
      </w:r>
    </w:p>
    <w:p w14:paraId="53449E1C" w14:textId="7F66CA52" w:rsidR="00E62E0F" w:rsidRPr="002670A5" w:rsidRDefault="00E62E0F" w:rsidP="00E62E0F">
      <w:pPr>
        <w:spacing w:after="0" w:line="360" w:lineRule="atLeast"/>
        <w:jc w:val="both"/>
        <w:rPr>
          <w:rFonts w:asciiTheme="majorHAnsi" w:eastAsia="Times New Roman" w:hAnsiTheme="majorHAnsi" w:cstheme="majorHAnsi"/>
          <w:sz w:val="24"/>
          <w:szCs w:val="24"/>
          <w:lang w:eastAsia="pt-BR"/>
        </w:rPr>
      </w:pPr>
      <w:r w:rsidRPr="002670A5">
        <w:rPr>
          <w:rFonts w:asciiTheme="majorHAnsi" w:eastAsia="Times New Roman" w:hAnsiTheme="majorHAnsi" w:cstheme="majorHAnsi"/>
          <w:sz w:val="24"/>
          <w:szCs w:val="24"/>
          <w:lang w:eastAsia="pt-BR"/>
        </w:rPr>
        <w:t xml:space="preserve">TANNURE, M. C.; GONÇALVES, A. M. </w:t>
      </w:r>
      <w:r w:rsidRPr="002670A5">
        <w:rPr>
          <w:rFonts w:asciiTheme="majorHAnsi" w:eastAsia="Times New Roman" w:hAnsiTheme="majorHAnsi" w:cstheme="majorHAnsi"/>
          <w:i/>
          <w:iCs/>
          <w:sz w:val="24"/>
          <w:szCs w:val="24"/>
          <w:lang w:eastAsia="pt-BR"/>
        </w:rPr>
        <w:t>SAE: Sistematização da Assistência de Enfermagem</w:t>
      </w:r>
      <w:r w:rsidRPr="002670A5">
        <w:rPr>
          <w:rFonts w:asciiTheme="majorHAnsi" w:eastAsia="Times New Roman" w:hAnsiTheme="majorHAnsi" w:cstheme="majorHAnsi"/>
          <w:sz w:val="24"/>
          <w:szCs w:val="24"/>
          <w:lang w:eastAsia="pt-BR"/>
        </w:rPr>
        <w:t xml:space="preserve">. 3. ed. Rio de Janeiro: Guanabara Koogan, 2022. Disponível em: </w:t>
      </w:r>
      <w:hyperlink r:id="rId17" w:tgtFrame="_blank" w:history="1">
        <w:r w:rsidRPr="002670A5">
          <w:rPr>
            <w:rFonts w:asciiTheme="majorHAnsi" w:eastAsia="Times New Roman" w:hAnsiTheme="majorHAnsi" w:cstheme="majorHAnsi"/>
            <w:sz w:val="24"/>
            <w:szCs w:val="24"/>
            <w:u w:val="single"/>
            <w:lang w:eastAsia="pt-BR"/>
          </w:rPr>
          <w:t>https://www.grupogen.com.br</w:t>
        </w:r>
      </w:hyperlink>
      <w:r w:rsidRPr="002670A5">
        <w:rPr>
          <w:rFonts w:asciiTheme="majorHAnsi" w:eastAsia="Times New Roman" w:hAnsiTheme="majorHAnsi" w:cstheme="majorHAnsi"/>
          <w:sz w:val="24"/>
          <w:szCs w:val="24"/>
          <w:lang w:eastAsia="pt-BR"/>
        </w:rPr>
        <w:t>. Acesso em: 08 abr. 2026, às 16:45.</w:t>
      </w:r>
    </w:p>
    <w:p w14:paraId="48BCCB7D" w14:textId="3496BB8A" w:rsidR="003C348F" w:rsidRPr="002670A5" w:rsidRDefault="00D22CD9" w:rsidP="003C348F">
      <w:pPr>
        <w:spacing w:before="100" w:beforeAutospacing="1" w:after="100" w:afterAutospacing="1" w:line="240" w:lineRule="auto"/>
        <w:rPr>
          <w:rFonts w:asciiTheme="majorHAnsi" w:eastAsia="Times New Roman" w:hAnsiTheme="majorHAnsi" w:cstheme="majorHAnsi"/>
          <w:b/>
          <w:bCs/>
          <w:sz w:val="24"/>
          <w:szCs w:val="24"/>
          <w:lang w:eastAsia="pt-BR"/>
        </w:rPr>
      </w:pPr>
      <w:r w:rsidRPr="002670A5">
        <w:rPr>
          <w:rFonts w:asciiTheme="majorHAnsi" w:eastAsia="Times New Roman" w:hAnsiTheme="majorHAnsi" w:cstheme="majorHAnsi"/>
          <w:b/>
          <w:bCs/>
          <w:sz w:val="24"/>
          <w:szCs w:val="24"/>
          <w:lang w:eastAsia="pt-BR"/>
        </w:rPr>
        <w:t>5</w:t>
      </w:r>
      <w:r w:rsidR="003C348F" w:rsidRPr="002670A5">
        <w:rPr>
          <w:rFonts w:asciiTheme="majorHAnsi" w:eastAsia="Times New Roman" w:hAnsiTheme="majorHAnsi" w:cstheme="majorHAnsi"/>
          <w:b/>
          <w:bCs/>
          <w:sz w:val="24"/>
          <w:szCs w:val="24"/>
          <w:lang w:eastAsia="pt-BR"/>
        </w:rPr>
        <w:t>. GLOSSÁRIO</w:t>
      </w:r>
    </w:p>
    <w:p w14:paraId="419030E9"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ABNT (Associação Brasileira de Normas Técnicas)</w:t>
      </w:r>
      <w:r w:rsidRPr="002670A5">
        <w:rPr>
          <w:rFonts w:asciiTheme="majorHAnsi" w:eastAsia="Times New Roman" w:hAnsiTheme="majorHAnsi" w:cstheme="majorHAnsi"/>
          <w:color w:val="000000"/>
          <w:sz w:val="24"/>
          <w:szCs w:val="24"/>
          <w:lang w:eastAsia="pt-BR"/>
        </w:rPr>
        <w:t xml:space="preserve"> – Órgão responsável pela normatização técnica no Brasil, cujas regras foram seguidas para a padronização e fidedignidade das citações e referências do estudo.</w:t>
      </w:r>
    </w:p>
    <w:p w14:paraId="33FA02C3"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53B13382"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ANVISA (Agência Nacional de Vigilância Sanitária)</w:t>
      </w:r>
      <w:r w:rsidRPr="002670A5">
        <w:rPr>
          <w:rFonts w:asciiTheme="majorHAnsi" w:eastAsia="Times New Roman" w:hAnsiTheme="majorHAnsi" w:cstheme="majorHAnsi"/>
          <w:color w:val="000000"/>
          <w:sz w:val="24"/>
          <w:szCs w:val="24"/>
          <w:lang w:eastAsia="pt-BR"/>
        </w:rPr>
        <w:t xml:space="preserve"> – Autarquia vinculada ao Ministério da Saúde do Brasil que atua na proteção da saúde da população, sendo citada pelas diretrizes e publicações sobre assistência segura e segurança do paciente.</w:t>
      </w:r>
    </w:p>
    <w:p w14:paraId="1948BDD9"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5011EC66"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Cegueira por desatenção</w:t>
      </w:r>
      <w:r w:rsidRPr="002670A5">
        <w:rPr>
          <w:rFonts w:asciiTheme="majorHAnsi" w:eastAsia="Times New Roman" w:hAnsiTheme="majorHAnsi" w:cstheme="majorHAnsi"/>
          <w:color w:val="000000"/>
          <w:sz w:val="24"/>
          <w:szCs w:val="24"/>
          <w:lang w:eastAsia="pt-BR"/>
        </w:rPr>
        <w:t xml:space="preserve"> – Fenômeno cognitivo que ocorre em ambientes de alta demanda, no qual estímulos e detalhes relevantes deixam de ser percebidos pelo profissional devido ao excesso de demandas simultâneas ou distrações.</w:t>
      </w:r>
    </w:p>
    <w:p w14:paraId="16A7DA7E"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5AA6EDA7"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Certos da medicação</w:t>
      </w:r>
      <w:r w:rsidRPr="002670A5">
        <w:rPr>
          <w:rFonts w:asciiTheme="majorHAnsi" w:eastAsia="Times New Roman" w:hAnsiTheme="majorHAnsi" w:cstheme="majorHAnsi"/>
          <w:color w:val="000000"/>
          <w:sz w:val="24"/>
          <w:szCs w:val="24"/>
          <w:lang w:eastAsia="pt-BR"/>
        </w:rPr>
        <w:t xml:space="preserve"> – Princípios fundamentais para a prevenção de eventos adversos na administração de fármacos. O modelo evoluiu dos 5 certos clássicos (paciente, medicamento, dose, via e horário certos) para os 9 certos (incluindo também registro, orientação, forma farmacêutica e resposta certa ao medicamento).</w:t>
      </w:r>
    </w:p>
    <w:p w14:paraId="4075D124"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50F80F63"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COFEN (Conselho Federal de Enfermagem)</w:t>
      </w:r>
      <w:r w:rsidRPr="002670A5">
        <w:rPr>
          <w:rFonts w:asciiTheme="majorHAnsi" w:eastAsia="Times New Roman" w:hAnsiTheme="majorHAnsi" w:cstheme="majorHAnsi"/>
          <w:color w:val="000000"/>
          <w:sz w:val="24"/>
          <w:szCs w:val="24"/>
          <w:lang w:eastAsia="pt-BR"/>
        </w:rPr>
        <w:t xml:space="preserve"> – Órgão que regulamenta, fiscaliza e resguarda o exercício profissional da enfermagem no Brasil, sublinhando os deveres éticos e legais da categoria.</w:t>
      </w:r>
    </w:p>
    <w:p w14:paraId="02E522DB"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57731C22"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Cultura Justa</w:t>
      </w:r>
      <w:r w:rsidRPr="002670A5">
        <w:rPr>
          <w:rFonts w:asciiTheme="majorHAnsi" w:eastAsia="Times New Roman" w:hAnsiTheme="majorHAnsi" w:cstheme="majorHAnsi"/>
          <w:color w:val="000000"/>
          <w:sz w:val="24"/>
          <w:szCs w:val="24"/>
          <w:lang w:eastAsia="pt-BR"/>
        </w:rPr>
        <w:t xml:space="preserve"> – Modelo de gestão hospitalar que transita da postura punitiva para uma abordagem onde o erro é analisado como uma oportunidade de melhoria sistêmica, encorajando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equipe a notificar falhas sem medo de retaliações.</w:t>
      </w:r>
    </w:p>
    <w:p w14:paraId="760B3604"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DeCS (Descritores em Ciências da Saúde)</w:t>
      </w:r>
      <w:r w:rsidRPr="002670A5">
        <w:rPr>
          <w:rFonts w:asciiTheme="majorHAnsi" w:eastAsia="Times New Roman" w:hAnsiTheme="majorHAnsi" w:cstheme="majorHAnsi"/>
          <w:color w:val="000000"/>
          <w:sz w:val="24"/>
          <w:szCs w:val="24"/>
          <w:lang w:eastAsia="pt-BR"/>
        </w:rPr>
        <w:t xml:space="preserve"> – Vocabulário estruturado e trilíngue utilizado para a busca, indexação e recuperação de artigos e literatura científica nas bases de dados de saúde.</w:t>
      </w:r>
    </w:p>
    <w:p w14:paraId="2B76D7B1"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27242659"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Dupla checagem (Double-check)</w:t>
      </w:r>
      <w:r w:rsidRPr="002670A5">
        <w:rPr>
          <w:rFonts w:asciiTheme="majorHAnsi" w:eastAsia="Times New Roman" w:hAnsiTheme="majorHAnsi" w:cstheme="majorHAnsi"/>
          <w:color w:val="000000"/>
          <w:sz w:val="24"/>
          <w:szCs w:val="24"/>
          <w:lang w:eastAsia="pt-BR"/>
        </w:rPr>
        <w:t xml:space="preserve"> – Estratégia de barreira de segurança que consiste na conferência independente e concomitante de um item por dois profissionais de saúde qualificados, visando mitigar o viés de confirmação e interceptar erros. Ela deve ser “cega”, ou seja, o segundo profissional faz a sua conferência sem sofrer indução do primeiro.</w:t>
      </w:r>
    </w:p>
    <w:p w14:paraId="093D7A9F"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30DFF794"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Educação Permanente / Continuada</w:t>
      </w:r>
      <w:r w:rsidRPr="002670A5">
        <w:rPr>
          <w:rFonts w:asciiTheme="majorHAnsi" w:eastAsia="Times New Roman" w:hAnsiTheme="majorHAnsi" w:cstheme="majorHAnsi"/>
          <w:color w:val="000000"/>
          <w:sz w:val="24"/>
          <w:szCs w:val="24"/>
          <w:lang w:eastAsia="pt-BR"/>
        </w:rPr>
        <w:t xml:space="preserve"> – Programas e ações de atualização técnica e reflexão crítica voltados para o fortalecimento da cultura de segurança, raciocínio clínico e aprimoramento dos processos de trabalho em saúde.</w:t>
      </w:r>
    </w:p>
    <w:p w14:paraId="7D1D20BF"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1B29BB0A"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Erro de medicação</w:t>
      </w:r>
      <w:r w:rsidRPr="002670A5">
        <w:rPr>
          <w:rFonts w:asciiTheme="majorHAnsi" w:eastAsia="Times New Roman" w:hAnsiTheme="majorHAnsi" w:cstheme="majorHAnsi"/>
          <w:color w:val="000000"/>
          <w:sz w:val="24"/>
          <w:szCs w:val="24"/>
          <w:lang w:eastAsia="pt-BR"/>
        </w:rPr>
        <w:t xml:space="preserve"> – Fenômeno multicausal derivado de falhas nos processos e na comunicação. É catalisado por fatores como fadiga, iluminação inadequada, interrupções e sobrecarga de trabalho.</w:t>
      </w:r>
    </w:p>
    <w:p w14:paraId="617E47C1"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2AF9330B"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lastRenderedPageBreak/>
        <w:t>Evento adverso</w:t>
      </w:r>
      <w:r w:rsidRPr="002670A5">
        <w:rPr>
          <w:rFonts w:asciiTheme="majorHAnsi" w:eastAsia="Times New Roman" w:hAnsiTheme="majorHAnsi" w:cstheme="majorHAnsi"/>
          <w:color w:val="000000"/>
          <w:sz w:val="24"/>
          <w:szCs w:val="24"/>
          <w:lang w:eastAsia="pt-BR"/>
        </w:rPr>
        <w:t xml:space="preserve"> – Dano ou lesão indesejada causada ao paciente decorrente da assistência à saúde, e não da evolução natural de sua doença de base.</w:t>
      </w:r>
    </w:p>
    <w:p w14:paraId="4493A76E"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3528009E"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Farmacodinâmica</w:t>
      </w:r>
      <w:r w:rsidRPr="002670A5">
        <w:rPr>
          <w:rFonts w:asciiTheme="majorHAnsi" w:eastAsia="Times New Roman" w:hAnsiTheme="majorHAnsi" w:cstheme="majorHAnsi"/>
          <w:color w:val="000000"/>
          <w:sz w:val="24"/>
          <w:szCs w:val="24"/>
          <w:lang w:eastAsia="pt-BR"/>
        </w:rPr>
        <w:t xml:space="preserve"> – Ramo da farmacologia que estuda os efeitos bioquímicos e fisiológicos dos fármacos no organismo. No estudo, fundamenta a criticidade no manejo de substâncias com pequena margem de segurança.</w:t>
      </w:r>
    </w:p>
    <w:p w14:paraId="6F8B0B83"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5AAC7C26"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IOM (Institute of Medicine)</w:t>
      </w:r>
      <w:r w:rsidRPr="002670A5">
        <w:rPr>
          <w:rFonts w:asciiTheme="majorHAnsi" w:eastAsia="Times New Roman" w:hAnsiTheme="majorHAnsi" w:cstheme="majorHAnsi"/>
          <w:color w:val="000000"/>
          <w:sz w:val="24"/>
          <w:szCs w:val="24"/>
          <w:lang w:eastAsia="pt-BR"/>
        </w:rPr>
        <w:t xml:space="preserve"> – Instituição norte-americana responsável pelo histórico relatório de 2000 </w:t>
      </w:r>
      <w:r w:rsidRPr="002670A5">
        <w:rPr>
          <w:rFonts w:asciiTheme="majorHAnsi" w:eastAsia="Times New Roman" w:hAnsiTheme="majorHAnsi" w:cstheme="majorHAnsi"/>
          <w:i/>
          <w:iCs/>
          <w:color w:val="000000"/>
          <w:sz w:val="24"/>
          <w:szCs w:val="24"/>
          <w:lang w:eastAsia="pt-BR"/>
        </w:rPr>
        <w:t>“To Err is Human”</w:t>
      </w:r>
      <w:r w:rsidRPr="002670A5">
        <w:rPr>
          <w:rFonts w:asciiTheme="majorHAnsi" w:eastAsia="Times New Roman" w:hAnsiTheme="majorHAnsi" w:cstheme="majorHAnsi"/>
          <w:color w:val="000000"/>
          <w:sz w:val="24"/>
          <w:szCs w:val="24"/>
          <w:lang w:eastAsia="pt-BR"/>
        </w:rPr>
        <w:t xml:space="preserve"> (</w:t>
      </w:r>
      <w:r w:rsidRPr="002670A5">
        <w:rPr>
          <w:rFonts w:asciiTheme="majorHAnsi" w:eastAsia="Times New Roman" w:hAnsiTheme="majorHAnsi" w:cstheme="majorHAnsi"/>
          <w:i/>
          <w:iCs/>
          <w:color w:val="000000"/>
          <w:sz w:val="24"/>
          <w:szCs w:val="24"/>
          <w:lang w:eastAsia="pt-BR"/>
        </w:rPr>
        <w:t>“Errar é Humano”</w:t>
      </w:r>
      <w:r w:rsidRPr="002670A5">
        <w:rPr>
          <w:rFonts w:asciiTheme="majorHAnsi" w:eastAsia="Times New Roman" w:hAnsiTheme="majorHAnsi" w:cstheme="majorHAnsi"/>
          <w:color w:val="000000"/>
          <w:sz w:val="24"/>
          <w:szCs w:val="24"/>
          <w:lang w:eastAsia="pt-BR"/>
        </w:rPr>
        <w:t>), que impulsionou a reforma global nas práticas e discussões de segurança do paciente.</w:t>
      </w:r>
    </w:p>
    <w:p w14:paraId="444597A7"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262393F9"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Lapses (Lapsos)</w:t>
      </w:r>
      <w:r w:rsidRPr="002670A5">
        <w:rPr>
          <w:rFonts w:asciiTheme="majorHAnsi" w:eastAsia="Times New Roman" w:hAnsiTheme="majorHAnsi" w:cstheme="majorHAnsi"/>
          <w:color w:val="000000"/>
          <w:sz w:val="24"/>
          <w:szCs w:val="24"/>
          <w:lang w:eastAsia="pt-BR"/>
        </w:rPr>
        <w:t xml:space="preserve"> – Erros humanos de natureza cognitiva que se manifestam como falhas de memória ou esquecimento durante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execução de uma atividade.</w:t>
      </w:r>
    </w:p>
    <w:p w14:paraId="3CD7AD45"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3DF08CF3"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LASA (Look-Alike, Sound-Alike)</w:t>
      </w:r>
      <w:r w:rsidRPr="002670A5">
        <w:rPr>
          <w:rFonts w:asciiTheme="majorHAnsi" w:eastAsia="Times New Roman" w:hAnsiTheme="majorHAnsi" w:cstheme="majorHAnsi"/>
          <w:color w:val="000000"/>
          <w:sz w:val="24"/>
          <w:szCs w:val="24"/>
          <w:lang w:eastAsia="pt-BR"/>
        </w:rPr>
        <w:t xml:space="preserve"> – Termo utilizado para identificar medicamentos com semelhança visual (embalagens/rótulos parecidos) ou semelhança fonética (nomes com grafia ou som parecidos), sendo um fator de risco para erros de medicação.</w:t>
      </w:r>
    </w:p>
    <w:p w14:paraId="505C29C8"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MAV / HAM (Medicamentos de Alta Vigilância / High-Alert Medications)</w:t>
      </w:r>
      <w:r w:rsidRPr="002670A5">
        <w:rPr>
          <w:rFonts w:asciiTheme="majorHAnsi" w:eastAsia="Times New Roman" w:hAnsiTheme="majorHAnsi" w:cstheme="majorHAnsi"/>
          <w:color w:val="000000"/>
          <w:sz w:val="24"/>
          <w:szCs w:val="24"/>
          <w:lang w:eastAsia="pt-BR"/>
        </w:rPr>
        <w:t xml:space="preserve"> – Fármacos que possuem uma janela terapêutica estreita (pequena margem entre a dose terapêutica e a tóxica). Exigem rigor absoluto, pois eventuais erros em sua administração podem gerar consequências graves ou fatais (ex.: insulinas, anticoagulantes e cloreto de potássio).</w:t>
      </w:r>
    </w:p>
    <w:p w14:paraId="391F1479"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7ABBBFE2"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Near misses (Quase-erros)</w:t>
      </w:r>
      <w:r w:rsidRPr="002670A5">
        <w:rPr>
          <w:rFonts w:asciiTheme="majorHAnsi" w:eastAsia="Times New Roman" w:hAnsiTheme="majorHAnsi" w:cstheme="majorHAnsi"/>
          <w:color w:val="000000"/>
          <w:sz w:val="24"/>
          <w:szCs w:val="24"/>
          <w:lang w:eastAsia="pt-BR"/>
        </w:rPr>
        <w:t xml:space="preserve"> – Incidentes ou falhas que foram interceptados antes de atingirem o paciente. A sua notificação é fundamental para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análise sistêmica e prevenção de futuros acidentes reais.</w:t>
      </w:r>
    </w:p>
    <w:p w14:paraId="786128B7"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0FBD4654"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Piloto automático cognitivo (Automatismo cerebral)</w:t>
      </w:r>
      <w:r w:rsidRPr="002670A5">
        <w:rPr>
          <w:rFonts w:asciiTheme="majorHAnsi" w:eastAsia="Times New Roman" w:hAnsiTheme="majorHAnsi" w:cstheme="majorHAnsi"/>
          <w:color w:val="000000"/>
          <w:sz w:val="24"/>
          <w:szCs w:val="24"/>
          <w:lang w:eastAsia="pt-BR"/>
        </w:rPr>
        <w:t xml:space="preserve"> – Estado mental mecânico e não reflexivo em que o profissional executa tarefas de rotina de forma automatizada, o que reduz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atenção aos detalhes e eleva o risco de falhas.</w:t>
      </w:r>
    </w:p>
    <w:p w14:paraId="4263EE9D"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6B3FB67E"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PNSP (Programa Nacional de Segurança do Paciente)</w:t>
      </w:r>
      <w:r w:rsidRPr="002670A5">
        <w:rPr>
          <w:rFonts w:asciiTheme="majorHAnsi" w:eastAsia="Times New Roman" w:hAnsiTheme="majorHAnsi" w:cstheme="majorHAnsi"/>
          <w:color w:val="000000"/>
          <w:sz w:val="24"/>
          <w:szCs w:val="24"/>
          <w:lang w:eastAsia="pt-BR"/>
        </w:rPr>
        <w:t xml:space="preserve"> – Instituído no Brasil em 2013 pela Portaria MS nº 529, visa qualificar o cuidado em saúde e garantir uma assistência segura, oportuna e centrada no paciente em todo o território nacional.</w:t>
      </w:r>
    </w:p>
    <w:p w14:paraId="0EC5D9E0"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0648DF89"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lastRenderedPageBreak/>
        <w:t>Prática mecânica</w:t>
      </w:r>
      <w:r w:rsidRPr="002670A5">
        <w:rPr>
          <w:rFonts w:asciiTheme="majorHAnsi" w:eastAsia="Times New Roman" w:hAnsiTheme="majorHAnsi" w:cstheme="majorHAnsi"/>
          <w:color w:val="000000"/>
          <w:sz w:val="24"/>
          <w:szCs w:val="24"/>
          <w:lang w:eastAsia="pt-BR"/>
        </w:rPr>
        <w:t xml:space="preserve"> – Conduta em que o protocolo de segurança (como a dupla checagem) perde sua finalidade reflexiva e vira uma mera etapa burocrática, ocorrendo, por exemplo,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assinatura do documento sem a verificação real do procedimento.</w:t>
      </w:r>
    </w:p>
    <w:p w14:paraId="57441BDF"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34B443A4"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Redundância estatística / sistêmica</w:t>
      </w:r>
      <w:r w:rsidRPr="002670A5">
        <w:rPr>
          <w:rFonts w:asciiTheme="majorHAnsi" w:eastAsia="Times New Roman" w:hAnsiTheme="majorHAnsi" w:cstheme="majorHAnsi"/>
          <w:color w:val="000000"/>
          <w:sz w:val="24"/>
          <w:szCs w:val="24"/>
          <w:lang w:eastAsia="pt-BR"/>
        </w:rPr>
        <w:t xml:space="preserve"> – Princípio de segurança que consiste em criar camadas repetidas de verificação. Estatisticamente, se a chance de um profissional errar sozinho é de 1% (0,01), a chance de dois profissionais independentes cometerem exatamente o mesmo erro cai para 0,01% (0,0001).</w:t>
      </w:r>
    </w:p>
    <w:p w14:paraId="6AEE2E60"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0293BF40"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Segurança do paciente</w:t>
      </w:r>
      <w:r w:rsidRPr="002670A5">
        <w:rPr>
          <w:rFonts w:asciiTheme="majorHAnsi" w:eastAsia="Times New Roman" w:hAnsiTheme="majorHAnsi" w:cstheme="majorHAnsi"/>
          <w:color w:val="000000"/>
          <w:sz w:val="24"/>
          <w:szCs w:val="24"/>
          <w:lang w:eastAsia="pt-BR"/>
        </w:rPr>
        <w:t xml:space="preserve"> – Redução dos riscos de danos desnecessários associados à assistência em saúde </w:t>
      </w:r>
      <w:proofErr w:type="gramStart"/>
      <w:r w:rsidRPr="002670A5">
        <w:rPr>
          <w:rFonts w:asciiTheme="majorHAnsi" w:eastAsia="Times New Roman" w:hAnsiTheme="majorHAnsi" w:cstheme="majorHAnsi"/>
          <w:color w:val="000000"/>
          <w:sz w:val="24"/>
          <w:szCs w:val="24"/>
          <w:lang w:eastAsia="pt-BR"/>
        </w:rPr>
        <w:t>a</w:t>
      </w:r>
      <w:proofErr w:type="gramEnd"/>
      <w:r w:rsidRPr="002670A5">
        <w:rPr>
          <w:rFonts w:asciiTheme="majorHAnsi" w:eastAsia="Times New Roman" w:hAnsiTheme="majorHAnsi" w:cstheme="majorHAnsi"/>
          <w:color w:val="000000"/>
          <w:sz w:val="24"/>
          <w:szCs w:val="24"/>
          <w:lang w:eastAsia="pt-BR"/>
        </w:rPr>
        <w:t xml:space="preserve"> um mínimo aceitável, segundo preceitos da OMS.</w:t>
      </w:r>
    </w:p>
    <w:p w14:paraId="4E75F616"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791CB777"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Slips (Erros de execução)</w:t>
      </w:r>
      <w:r w:rsidRPr="002670A5">
        <w:rPr>
          <w:rFonts w:asciiTheme="majorHAnsi" w:eastAsia="Times New Roman" w:hAnsiTheme="majorHAnsi" w:cstheme="majorHAnsi"/>
          <w:color w:val="000000"/>
          <w:sz w:val="24"/>
          <w:szCs w:val="24"/>
          <w:lang w:eastAsia="pt-BR"/>
        </w:rPr>
        <w:t xml:space="preserve"> – Falhas cognitivas humanas que ocorrem no momento da ação técnica propriamente dita, caracterizadas por uma discrepância entre o que o profissional pretendia fazer e a ação que foi efetivamente executada.</w:t>
      </w:r>
    </w:p>
    <w:p w14:paraId="1E6E8256"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p>
    <w:p w14:paraId="5DB7396E" w14:textId="77777777" w:rsidR="00E62E0F" w:rsidRPr="002670A5" w:rsidRDefault="00E62E0F" w:rsidP="00E62E0F">
      <w:pPr>
        <w:spacing w:after="0" w:line="360" w:lineRule="atLeast"/>
        <w:jc w:val="both"/>
        <w:rPr>
          <w:rFonts w:asciiTheme="majorHAnsi" w:eastAsia="Times New Roman" w:hAnsiTheme="majorHAnsi" w:cstheme="majorHAnsi"/>
          <w:color w:val="000000"/>
          <w:sz w:val="24"/>
          <w:szCs w:val="24"/>
          <w:lang w:eastAsia="pt-BR"/>
        </w:rPr>
      </w:pPr>
      <w:r w:rsidRPr="002670A5">
        <w:rPr>
          <w:rFonts w:asciiTheme="majorHAnsi" w:eastAsia="Times New Roman" w:hAnsiTheme="majorHAnsi" w:cstheme="majorHAnsi"/>
          <w:bCs/>
          <w:color w:val="000000"/>
          <w:sz w:val="24"/>
          <w:szCs w:val="24"/>
          <w:lang w:eastAsia="pt-BR"/>
        </w:rPr>
        <w:t>Teoria do Queijo Suíço (James Reason)</w:t>
      </w:r>
      <w:r w:rsidRPr="002670A5">
        <w:rPr>
          <w:rFonts w:asciiTheme="majorHAnsi" w:eastAsia="Times New Roman" w:hAnsiTheme="majorHAnsi" w:cstheme="majorHAnsi"/>
          <w:color w:val="000000"/>
          <w:sz w:val="24"/>
          <w:szCs w:val="24"/>
          <w:lang w:eastAsia="pt-BR"/>
        </w:rPr>
        <w:t xml:space="preserve"> – Modelo que explica que os acidentes nas organizações hospitalares ocorrem quando múltiplas falhas latentes (buracos nas fatias do queijo) se alinham no sistema, permitindo que o perigo ultrapasse todas as defesas e atinja o paciente.</w:t>
      </w:r>
    </w:p>
    <w:sectPr w:rsidR="00E62E0F" w:rsidRPr="002670A5" w:rsidSect="0062686F">
      <w:footerReference w:type="default" r:id="rId18"/>
      <w:footerReference w:type="first" r:id="rId19"/>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1482D" w14:textId="77777777" w:rsidR="0068563D" w:rsidRDefault="0068563D" w:rsidP="001B1D60">
      <w:pPr>
        <w:spacing w:after="0" w:line="240" w:lineRule="auto"/>
      </w:pPr>
      <w:r>
        <w:separator/>
      </w:r>
    </w:p>
  </w:endnote>
  <w:endnote w:type="continuationSeparator" w:id="0">
    <w:p w14:paraId="45269C9A" w14:textId="77777777" w:rsidR="0068563D" w:rsidRDefault="0068563D" w:rsidP="001B1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299758"/>
      <w:docPartObj>
        <w:docPartGallery w:val="Page Numbers (Bottom of Page)"/>
        <w:docPartUnique/>
      </w:docPartObj>
    </w:sdtPr>
    <w:sdtEndPr/>
    <w:sdtContent>
      <w:p w14:paraId="5254C06C" w14:textId="3BF75BA9" w:rsidR="0062686F" w:rsidRDefault="0062686F">
        <w:pPr>
          <w:pStyle w:val="Rodap"/>
          <w:jc w:val="right"/>
        </w:pPr>
        <w:r>
          <w:fldChar w:fldCharType="begin"/>
        </w:r>
        <w:r>
          <w:instrText>PAGE   \* MERGEFORMAT</w:instrText>
        </w:r>
        <w:r>
          <w:fldChar w:fldCharType="separate"/>
        </w:r>
        <w:r w:rsidR="003300D7" w:rsidRPr="003300D7">
          <w:rPr>
            <w:noProof/>
            <w:lang w:val="pt-BR"/>
          </w:rPr>
          <w:t>14</w:t>
        </w:r>
        <w:r>
          <w:fldChar w:fldCharType="end"/>
        </w:r>
      </w:p>
    </w:sdtContent>
  </w:sdt>
  <w:p w14:paraId="5465FCB3" w14:textId="40E30DF4" w:rsidR="00FF7577" w:rsidRDefault="00FF7577" w:rsidP="000536F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540D2" w14:textId="571C765C" w:rsidR="00E62E0F" w:rsidRPr="002F3014" w:rsidRDefault="00E62E0F" w:rsidP="002F3014">
    <w:pPr>
      <w:rPr>
        <w:rFonts w:ascii="Times New Roman" w:hAnsi="Times New Roman" w:cs="Times New Roman"/>
        <w:bCs/>
        <w:sz w:val="16"/>
        <w:szCs w:val="16"/>
      </w:rPr>
    </w:pPr>
    <w:r w:rsidRPr="002F3014">
      <w:rPr>
        <w:rFonts w:ascii="Times New Roman" w:hAnsi="Times New Roman" w:cs="Times New Roman"/>
        <w:bCs/>
        <w:sz w:val="16"/>
        <w:szCs w:val="16"/>
        <w:vertAlign w:val="superscript"/>
      </w:rPr>
      <w:t>1</w:t>
    </w:r>
    <w:r w:rsidRPr="002F3014">
      <w:rPr>
        <w:rFonts w:ascii="Times New Roman" w:hAnsi="Times New Roman" w:cs="Times New Roman"/>
        <w:bCs/>
        <w:sz w:val="16"/>
        <w:szCs w:val="16"/>
      </w:rPr>
      <w:t xml:space="preserve">Discente do Curso Técnico em Enfermagem, na Etec Pedro D`Arcádia Neto </w:t>
    </w:r>
    <w:hyperlink r:id="rId1" w:history="1">
      <w:r w:rsidRPr="002F3014">
        <w:rPr>
          <w:rStyle w:val="Hyperlink"/>
          <w:rFonts w:ascii="Times New Roman" w:hAnsi="Times New Roman" w:cs="Times New Roman"/>
          <w:bCs/>
          <w:color w:val="auto"/>
          <w:sz w:val="16"/>
          <w:szCs w:val="16"/>
        </w:rPr>
        <w:t>-jacamorin@hotmail.com</w:t>
      </w:r>
    </w:hyperlink>
  </w:p>
  <w:p w14:paraId="5F34C0F5" w14:textId="77777777" w:rsidR="00E62E0F" w:rsidRPr="002F3014" w:rsidRDefault="00E62E0F" w:rsidP="002F3014">
    <w:pPr>
      <w:rPr>
        <w:rFonts w:ascii="Times New Roman" w:hAnsi="Times New Roman" w:cs="Times New Roman"/>
        <w:bCs/>
        <w:sz w:val="16"/>
        <w:szCs w:val="16"/>
      </w:rPr>
    </w:pPr>
    <w:r w:rsidRPr="002F3014">
      <w:rPr>
        <w:rFonts w:ascii="Times New Roman" w:hAnsi="Times New Roman" w:cs="Times New Roman"/>
        <w:bCs/>
        <w:sz w:val="16"/>
        <w:szCs w:val="16"/>
        <w:vertAlign w:val="superscript"/>
      </w:rPr>
      <w:t>2</w:t>
    </w:r>
    <w:r w:rsidRPr="002F3014">
      <w:rPr>
        <w:rFonts w:ascii="Times New Roman" w:hAnsi="Times New Roman" w:cs="Times New Roman"/>
        <w:bCs/>
        <w:sz w:val="16"/>
        <w:szCs w:val="16"/>
      </w:rPr>
      <w:t xml:space="preserve">Discente do Curso Técnico em Enfermagem, na Etec Pedro D`Arcádia Neto – </w:t>
    </w:r>
    <w:hyperlink r:id="rId2" w:history="1">
      <w:r w:rsidRPr="002F3014">
        <w:rPr>
          <w:rStyle w:val="Hyperlink"/>
          <w:rFonts w:ascii="Times New Roman" w:hAnsi="Times New Roman" w:cs="Times New Roman"/>
          <w:bCs/>
          <w:color w:val="auto"/>
          <w:sz w:val="16"/>
          <w:szCs w:val="16"/>
        </w:rPr>
        <w:t>benedusep@gmail.com</w:t>
      </w:r>
    </w:hyperlink>
  </w:p>
  <w:p w14:paraId="05DB5CD6" w14:textId="77777777" w:rsidR="00E62E0F" w:rsidRPr="002F3014" w:rsidRDefault="00E62E0F" w:rsidP="002F3014">
    <w:pPr>
      <w:rPr>
        <w:rFonts w:ascii="Times New Roman" w:hAnsi="Times New Roman" w:cs="Times New Roman"/>
        <w:bCs/>
        <w:sz w:val="16"/>
        <w:szCs w:val="16"/>
      </w:rPr>
    </w:pPr>
    <w:r w:rsidRPr="002F3014">
      <w:rPr>
        <w:rFonts w:ascii="Times New Roman" w:hAnsi="Times New Roman" w:cs="Times New Roman"/>
        <w:bCs/>
        <w:sz w:val="16"/>
        <w:szCs w:val="16"/>
        <w:vertAlign w:val="superscript"/>
      </w:rPr>
      <w:t>3</w:t>
    </w:r>
    <w:r w:rsidRPr="002F3014">
      <w:rPr>
        <w:rFonts w:ascii="Times New Roman" w:hAnsi="Times New Roman" w:cs="Times New Roman"/>
        <w:bCs/>
        <w:sz w:val="16"/>
        <w:szCs w:val="16"/>
      </w:rPr>
      <w:t xml:space="preserve">Discente do Curso Técnico em Enfermagem, na Etec Pedro D`Arcádia Neto </w:t>
    </w:r>
    <w:hyperlink r:id="rId3" w:history="1">
      <w:r w:rsidRPr="002F3014">
        <w:rPr>
          <w:rStyle w:val="Hyperlink"/>
          <w:rFonts w:ascii="Times New Roman" w:hAnsi="Times New Roman" w:cs="Times New Roman"/>
          <w:bCs/>
          <w:color w:val="auto"/>
          <w:sz w:val="16"/>
          <w:szCs w:val="16"/>
        </w:rPr>
        <w:t>-lucasjoaquimcn@yahoo.com</w:t>
      </w:r>
    </w:hyperlink>
  </w:p>
  <w:p w14:paraId="4B852B73" w14:textId="77777777" w:rsidR="00E62E0F" w:rsidRPr="002F3014" w:rsidRDefault="00E62E0F" w:rsidP="002F3014">
    <w:pPr>
      <w:rPr>
        <w:rFonts w:ascii="Times New Roman" w:hAnsi="Times New Roman" w:cs="Times New Roman"/>
        <w:bCs/>
        <w:sz w:val="16"/>
        <w:szCs w:val="16"/>
      </w:rPr>
    </w:pPr>
    <w:r w:rsidRPr="002F3014">
      <w:rPr>
        <w:rFonts w:ascii="Times New Roman" w:hAnsi="Times New Roman" w:cs="Times New Roman"/>
        <w:bCs/>
        <w:sz w:val="16"/>
        <w:szCs w:val="16"/>
        <w:vertAlign w:val="superscript"/>
      </w:rPr>
      <w:t>4</w:t>
    </w:r>
    <w:r w:rsidRPr="002F3014">
      <w:rPr>
        <w:rFonts w:ascii="Times New Roman" w:hAnsi="Times New Roman" w:cs="Times New Roman"/>
        <w:bCs/>
        <w:sz w:val="16"/>
        <w:szCs w:val="16"/>
      </w:rPr>
      <w:t xml:space="preserve">Discente do Curso Técnico em Enfermagem, na Etec Pedro D`Arcádia Neto </w:t>
    </w:r>
    <w:hyperlink r:id="rId4" w:history="1">
      <w:r w:rsidRPr="002F3014">
        <w:rPr>
          <w:rStyle w:val="Hyperlink"/>
          <w:rFonts w:ascii="Times New Roman" w:hAnsi="Times New Roman" w:cs="Times New Roman"/>
          <w:bCs/>
          <w:color w:val="auto"/>
          <w:sz w:val="16"/>
          <w:szCs w:val="16"/>
        </w:rPr>
        <w:t>-andressast924@gmail.com</w:t>
      </w:r>
    </w:hyperlink>
  </w:p>
  <w:p w14:paraId="4EE0ACF9" w14:textId="77777777" w:rsidR="00E62E0F" w:rsidRPr="002F3014" w:rsidRDefault="00E62E0F" w:rsidP="002F3014">
    <w:pPr>
      <w:rPr>
        <w:rFonts w:ascii="Times New Roman" w:hAnsi="Times New Roman" w:cs="Times New Roman"/>
        <w:bCs/>
        <w:sz w:val="16"/>
        <w:szCs w:val="16"/>
      </w:rPr>
    </w:pPr>
    <w:r w:rsidRPr="002F3014">
      <w:rPr>
        <w:rFonts w:ascii="Times New Roman" w:hAnsi="Times New Roman" w:cs="Times New Roman"/>
        <w:bCs/>
        <w:sz w:val="16"/>
        <w:szCs w:val="16"/>
        <w:vertAlign w:val="superscript"/>
      </w:rPr>
      <w:t>5</w:t>
    </w:r>
    <w:r w:rsidRPr="002F3014">
      <w:rPr>
        <w:rFonts w:ascii="Times New Roman" w:hAnsi="Times New Roman" w:cs="Times New Roman"/>
        <w:bCs/>
        <w:sz w:val="16"/>
        <w:szCs w:val="16"/>
      </w:rPr>
      <w:t xml:space="preserve">Discente do Curso Técnico em Enfermagem, na Etec Pedro D`Arcádia Neto – </w:t>
    </w:r>
    <w:hyperlink r:id="rId5" w:history="1">
      <w:r w:rsidRPr="002F3014">
        <w:rPr>
          <w:rStyle w:val="Hyperlink"/>
          <w:rFonts w:ascii="Times New Roman" w:hAnsi="Times New Roman" w:cs="Times New Roman"/>
          <w:bCs/>
          <w:color w:val="auto"/>
          <w:sz w:val="16"/>
          <w:szCs w:val="16"/>
        </w:rPr>
        <w:t>larissa.viel@hotmail.com</w:t>
      </w:r>
    </w:hyperlink>
  </w:p>
  <w:p w14:paraId="1C58B044" w14:textId="77777777" w:rsidR="00E62E0F" w:rsidRPr="002F3014" w:rsidRDefault="00E62E0F" w:rsidP="002F3014">
    <w:pPr>
      <w:rPr>
        <w:rFonts w:ascii="Times New Roman" w:hAnsi="Times New Roman" w:cs="Times New Roman"/>
        <w:bCs/>
        <w:sz w:val="16"/>
        <w:szCs w:val="16"/>
      </w:rPr>
    </w:pPr>
    <w:r w:rsidRPr="002F3014">
      <w:rPr>
        <w:rFonts w:ascii="Times New Roman" w:hAnsi="Times New Roman" w:cs="Times New Roman"/>
        <w:bCs/>
        <w:sz w:val="16"/>
        <w:szCs w:val="16"/>
        <w:vertAlign w:val="superscript"/>
      </w:rPr>
      <w:t>6</w:t>
    </w:r>
    <w:r w:rsidRPr="002F3014">
      <w:rPr>
        <w:rFonts w:ascii="Times New Roman" w:hAnsi="Times New Roman" w:cs="Times New Roman"/>
        <w:bCs/>
        <w:sz w:val="16"/>
        <w:szCs w:val="16"/>
      </w:rPr>
      <w:t>Enfermeiro Professor Orientador, na Etec Pedro D`Arcádia Neto - fernando.marin@cps.sp.gov.br</w:t>
    </w:r>
  </w:p>
  <w:p w14:paraId="5F4602A7" w14:textId="5E2BF32A" w:rsidR="00E62E0F" w:rsidRPr="002F3014" w:rsidRDefault="00E62E0F" w:rsidP="002F3014">
    <w:pPr>
      <w:pStyle w:val="Rodap"/>
      <w:rPr>
        <w:rFonts w:ascii="Times New Roman" w:hAnsi="Times New Roman" w:cs="Times New Roman"/>
        <w:sz w:val="16"/>
        <w:szCs w:val="16"/>
      </w:rPr>
    </w:pPr>
  </w:p>
  <w:p w14:paraId="51BFA84A" w14:textId="77777777" w:rsidR="0062686F" w:rsidRDefault="0062686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9EEE9" w14:textId="77777777" w:rsidR="0068563D" w:rsidRDefault="0068563D" w:rsidP="001B1D60">
      <w:pPr>
        <w:spacing w:after="0" w:line="240" w:lineRule="auto"/>
      </w:pPr>
      <w:r>
        <w:separator/>
      </w:r>
    </w:p>
  </w:footnote>
  <w:footnote w:type="continuationSeparator" w:id="0">
    <w:p w14:paraId="704047FA" w14:textId="77777777" w:rsidR="0068563D" w:rsidRDefault="0068563D" w:rsidP="001B1D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04F601FA"/>
    <w:multiLevelType w:val="multilevel"/>
    <w:tmpl w:val="27B2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DB05A3"/>
    <w:multiLevelType w:val="multilevel"/>
    <w:tmpl w:val="B8C8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365697"/>
    <w:multiLevelType w:val="multilevel"/>
    <w:tmpl w:val="56F8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C1493"/>
    <w:multiLevelType w:val="multilevel"/>
    <w:tmpl w:val="F6F2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B508F5"/>
    <w:multiLevelType w:val="multilevel"/>
    <w:tmpl w:val="935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3B4C76"/>
    <w:multiLevelType w:val="multilevel"/>
    <w:tmpl w:val="1D20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6B691F"/>
    <w:multiLevelType w:val="hybridMultilevel"/>
    <w:tmpl w:val="404AD27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5F9F0FAA"/>
    <w:multiLevelType w:val="multilevel"/>
    <w:tmpl w:val="4678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182E41"/>
    <w:multiLevelType w:val="multilevel"/>
    <w:tmpl w:val="57BC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374E15"/>
    <w:multiLevelType w:val="multilevel"/>
    <w:tmpl w:val="67E4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EE3EA6"/>
    <w:multiLevelType w:val="multilevel"/>
    <w:tmpl w:val="36E8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DB7A0A"/>
    <w:multiLevelType w:val="multilevel"/>
    <w:tmpl w:val="2358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E6722"/>
    <w:multiLevelType w:val="multilevel"/>
    <w:tmpl w:val="B958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26722B"/>
    <w:multiLevelType w:val="multilevel"/>
    <w:tmpl w:val="324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7C5AAE"/>
    <w:multiLevelType w:val="multilevel"/>
    <w:tmpl w:val="207C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1C5BA3"/>
    <w:multiLevelType w:val="multilevel"/>
    <w:tmpl w:val="74EA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8"/>
  </w:num>
  <w:num w:numId="12">
    <w:abstractNumId w:val="20"/>
  </w:num>
  <w:num w:numId="13">
    <w:abstractNumId w:val="23"/>
  </w:num>
  <w:num w:numId="14">
    <w:abstractNumId w:val="21"/>
  </w:num>
  <w:num w:numId="15">
    <w:abstractNumId w:val="12"/>
  </w:num>
  <w:num w:numId="16">
    <w:abstractNumId w:val="13"/>
  </w:num>
  <w:num w:numId="17">
    <w:abstractNumId w:val="16"/>
  </w:num>
  <w:num w:numId="18">
    <w:abstractNumId w:val="10"/>
  </w:num>
  <w:num w:numId="19">
    <w:abstractNumId w:val="14"/>
  </w:num>
  <w:num w:numId="20">
    <w:abstractNumId w:val="17"/>
  </w:num>
  <w:num w:numId="21">
    <w:abstractNumId w:val="9"/>
  </w:num>
  <w:num w:numId="22">
    <w:abstractNumId w:val="19"/>
  </w:num>
  <w:num w:numId="23">
    <w:abstractNumId w:val="22"/>
  </w:num>
  <w:num w:numId="24">
    <w:abstractNumId w:val="2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3AA"/>
    <w:rsid w:val="00034616"/>
    <w:rsid w:val="00034909"/>
    <w:rsid w:val="000536F3"/>
    <w:rsid w:val="0006063C"/>
    <w:rsid w:val="00060A26"/>
    <w:rsid w:val="00063C39"/>
    <w:rsid w:val="0014096A"/>
    <w:rsid w:val="0015074B"/>
    <w:rsid w:val="00163B2D"/>
    <w:rsid w:val="001B1D60"/>
    <w:rsid w:val="001B4CC4"/>
    <w:rsid w:val="001C7EE6"/>
    <w:rsid w:val="0021162C"/>
    <w:rsid w:val="00246F30"/>
    <w:rsid w:val="002670A5"/>
    <w:rsid w:val="0029639D"/>
    <w:rsid w:val="002B6DC4"/>
    <w:rsid w:val="002D2B59"/>
    <w:rsid w:val="002F3014"/>
    <w:rsid w:val="002F6504"/>
    <w:rsid w:val="003002BF"/>
    <w:rsid w:val="00326F90"/>
    <w:rsid w:val="003300D7"/>
    <w:rsid w:val="00376E13"/>
    <w:rsid w:val="00387D7A"/>
    <w:rsid w:val="003C348F"/>
    <w:rsid w:val="004A2680"/>
    <w:rsid w:val="005D6505"/>
    <w:rsid w:val="006006D8"/>
    <w:rsid w:val="0062686F"/>
    <w:rsid w:val="0068563D"/>
    <w:rsid w:val="006E5BEE"/>
    <w:rsid w:val="007A011A"/>
    <w:rsid w:val="00813618"/>
    <w:rsid w:val="008A678D"/>
    <w:rsid w:val="008D4C62"/>
    <w:rsid w:val="0094067F"/>
    <w:rsid w:val="009D267D"/>
    <w:rsid w:val="00AA1D8D"/>
    <w:rsid w:val="00AF5980"/>
    <w:rsid w:val="00B35E09"/>
    <w:rsid w:val="00B36926"/>
    <w:rsid w:val="00B47730"/>
    <w:rsid w:val="00C40014"/>
    <w:rsid w:val="00CB0664"/>
    <w:rsid w:val="00CD145D"/>
    <w:rsid w:val="00D22CD9"/>
    <w:rsid w:val="00D7352B"/>
    <w:rsid w:val="00DB0A0E"/>
    <w:rsid w:val="00DB428E"/>
    <w:rsid w:val="00DF1CEC"/>
    <w:rsid w:val="00E62E0F"/>
    <w:rsid w:val="00ED0DB4"/>
    <w:rsid w:val="00F639D3"/>
    <w:rsid w:val="00FA28CF"/>
    <w:rsid w:val="00FC693F"/>
    <w:rsid w:val="00FF7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E13A50"/>
  <w14:defaultImageDpi w14:val="300"/>
  <w15:docId w15:val="{F27FD435-3C16-401B-BB91-EF2B7402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813618"/>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text-block-with-attachment">
    <w:name w:val="text-block-with-attachment"/>
    <w:basedOn w:val="Fontepargpadro"/>
    <w:rsid w:val="00813618"/>
  </w:style>
  <w:style w:type="character" w:customStyle="1" w:styleId="citation-31">
    <w:name w:val="citation-31"/>
    <w:basedOn w:val="Fontepargpadro"/>
    <w:rsid w:val="00B36926"/>
  </w:style>
  <w:style w:type="character" w:customStyle="1" w:styleId="citation-30">
    <w:name w:val="citation-30"/>
    <w:basedOn w:val="Fontepargpadro"/>
    <w:rsid w:val="00B36926"/>
  </w:style>
  <w:style w:type="character" w:customStyle="1" w:styleId="citation-29">
    <w:name w:val="citation-29"/>
    <w:basedOn w:val="Fontepargpadro"/>
    <w:rsid w:val="00B36926"/>
  </w:style>
  <w:style w:type="character" w:customStyle="1" w:styleId="citation-28">
    <w:name w:val="citation-28"/>
    <w:basedOn w:val="Fontepargpadro"/>
    <w:rsid w:val="00B36926"/>
  </w:style>
  <w:style w:type="character" w:customStyle="1" w:styleId="citation-27">
    <w:name w:val="citation-27"/>
    <w:basedOn w:val="Fontepargpadro"/>
    <w:rsid w:val="00B36926"/>
  </w:style>
  <w:style w:type="character" w:customStyle="1" w:styleId="citation-26">
    <w:name w:val="citation-26"/>
    <w:basedOn w:val="Fontepargpadro"/>
    <w:rsid w:val="00B36926"/>
  </w:style>
  <w:style w:type="character" w:customStyle="1" w:styleId="citation-25">
    <w:name w:val="citation-25"/>
    <w:basedOn w:val="Fontepargpadro"/>
    <w:rsid w:val="00B36926"/>
  </w:style>
  <w:style w:type="character" w:customStyle="1" w:styleId="citation-24">
    <w:name w:val="citation-24"/>
    <w:basedOn w:val="Fontepargpadro"/>
    <w:rsid w:val="00B36926"/>
  </w:style>
  <w:style w:type="character" w:customStyle="1" w:styleId="citation-23">
    <w:name w:val="citation-23"/>
    <w:basedOn w:val="Fontepargpadro"/>
    <w:rsid w:val="00B36926"/>
  </w:style>
  <w:style w:type="character" w:customStyle="1" w:styleId="citation-22">
    <w:name w:val="citation-22"/>
    <w:basedOn w:val="Fontepargpadro"/>
    <w:rsid w:val="00B36926"/>
  </w:style>
  <w:style w:type="character" w:customStyle="1" w:styleId="citation-21">
    <w:name w:val="citation-21"/>
    <w:basedOn w:val="Fontepargpadro"/>
    <w:rsid w:val="00B36926"/>
  </w:style>
  <w:style w:type="character" w:customStyle="1" w:styleId="citation-20">
    <w:name w:val="citation-20"/>
    <w:basedOn w:val="Fontepargpadro"/>
    <w:rsid w:val="00B36926"/>
  </w:style>
  <w:style w:type="character" w:customStyle="1" w:styleId="citation-19">
    <w:name w:val="citation-19"/>
    <w:basedOn w:val="Fontepargpadro"/>
    <w:rsid w:val="00B36926"/>
  </w:style>
  <w:style w:type="character" w:customStyle="1" w:styleId="citation-18">
    <w:name w:val="citation-18"/>
    <w:basedOn w:val="Fontepargpadro"/>
    <w:rsid w:val="00B36926"/>
  </w:style>
  <w:style w:type="character" w:customStyle="1" w:styleId="citation-17">
    <w:name w:val="citation-17"/>
    <w:basedOn w:val="Fontepargpadro"/>
    <w:rsid w:val="00B36926"/>
  </w:style>
  <w:style w:type="character" w:customStyle="1" w:styleId="citation-16">
    <w:name w:val="citation-16"/>
    <w:basedOn w:val="Fontepargpadro"/>
    <w:rsid w:val="00B36926"/>
  </w:style>
  <w:style w:type="character" w:customStyle="1" w:styleId="citation-15">
    <w:name w:val="citation-15"/>
    <w:basedOn w:val="Fontepargpadro"/>
    <w:rsid w:val="00B36926"/>
  </w:style>
  <w:style w:type="character" w:customStyle="1" w:styleId="citation-14">
    <w:name w:val="citation-14"/>
    <w:basedOn w:val="Fontepargpadro"/>
    <w:rsid w:val="00B36926"/>
  </w:style>
  <w:style w:type="character" w:customStyle="1" w:styleId="citation-13">
    <w:name w:val="citation-13"/>
    <w:basedOn w:val="Fontepargpadro"/>
    <w:rsid w:val="00B36926"/>
  </w:style>
  <w:style w:type="character" w:customStyle="1" w:styleId="citation-12">
    <w:name w:val="citation-12"/>
    <w:basedOn w:val="Fontepargpadro"/>
    <w:rsid w:val="00B36926"/>
  </w:style>
  <w:style w:type="character" w:customStyle="1" w:styleId="citation-11">
    <w:name w:val="citation-11"/>
    <w:basedOn w:val="Fontepargpadro"/>
    <w:rsid w:val="00B36926"/>
  </w:style>
  <w:style w:type="character" w:customStyle="1" w:styleId="citation-10">
    <w:name w:val="citation-10"/>
    <w:basedOn w:val="Fontepargpadro"/>
    <w:rsid w:val="00B36926"/>
  </w:style>
  <w:style w:type="character" w:customStyle="1" w:styleId="citation-9">
    <w:name w:val="citation-9"/>
    <w:basedOn w:val="Fontepargpadro"/>
    <w:rsid w:val="00B36926"/>
  </w:style>
  <w:style w:type="character" w:customStyle="1" w:styleId="citation-8">
    <w:name w:val="citation-8"/>
    <w:basedOn w:val="Fontepargpadro"/>
    <w:rsid w:val="00B36926"/>
  </w:style>
  <w:style w:type="character" w:customStyle="1" w:styleId="citation-7">
    <w:name w:val="citation-7"/>
    <w:basedOn w:val="Fontepargpadro"/>
    <w:rsid w:val="00B36926"/>
  </w:style>
  <w:style w:type="character" w:customStyle="1" w:styleId="citation-6">
    <w:name w:val="citation-6"/>
    <w:basedOn w:val="Fontepargpadro"/>
    <w:rsid w:val="00B36926"/>
  </w:style>
  <w:style w:type="character" w:customStyle="1" w:styleId="citation-5">
    <w:name w:val="citation-5"/>
    <w:basedOn w:val="Fontepargpadro"/>
    <w:rsid w:val="00B36926"/>
  </w:style>
  <w:style w:type="character" w:customStyle="1" w:styleId="citation-4">
    <w:name w:val="citation-4"/>
    <w:basedOn w:val="Fontepargpadro"/>
    <w:rsid w:val="00B36926"/>
  </w:style>
  <w:style w:type="character" w:customStyle="1" w:styleId="citation-3">
    <w:name w:val="citation-3"/>
    <w:basedOn w:val="Fontepargpadro"/>
    <w:rsid w:val="00B36926"/>
  </w:style>
  <w:style w:type="character" w:customStyle="1" w:styleId="citation-2">
    <w:name w:val="citation-2"/>
    <w:basedOn w:val="Fontepargpadro"/>
    <w:rsid w:val="00B36926"/>
  </w:style>
  <w:style w:type="character" w:customStyle="1" w:styleId="citation-1">
    <w:name w:val="citation-1"/>
    <w:basedOn w:val="Fontepargpadro"/>
    <w:rsid w:val="00B36926"/>
  </w:style>
  <w:style w:type="character" w:customStyle="1" w:styleId="citation-0">
    <w:name w:val="citation-0"/>
    <w:basedOn w:val="Fontepargpadro"/>
    <w:rsid w:val="00B36926"/>
  </w:style>
  <w:style w:type="character" w:styleId="Hyperlink">
    <w:name w:val="Hyperlink"/>
    <w:basedOn w:val="Fontepargpadro"/>
    <w:uiPriority w:val="99"/>
    <w:unhideWhenUsed/>
    <w:rsid w:val="005D6505"/>
    <w:rPr>
      <w:color w:val="0000FF"/>
      <w:u w:val="single"/>
    </w:rPr>
  </w:style>
  <w:style w:type="character" w:customStyle="1" w:styleId="MenoPendente1">
    <w:name w:val="Menção Pendente1"/>
    <w:basedOn w:val="Fontepargpadro"/>
    <w:uiPriority w:val="99"/>
    <w:semiHidden/>
    <w:unhideWhenUsed/>
    <w:rsid w:val="00FF7577"/>
    <w:rPr>
      <w:color w:val="605E5C"/>
      <w:shd w:val="clear" w:color="auto" w:fill="E1DFDD"/>
    </w:rPr>
  </w:style>
  <w:style w:type="paragraph" w:styleId="Textodebalo">
    <w:name w:val="Balloon Text"/>
    <w:basedOn w:val="Normal"/>
    <w:link w:val="TextodebaloChar"/>
    <w:uiPriority w:val="99"/>
    <w:semiHidden/>
    <w:unhideWhenUsed/>
    <w:rsid w:val="00E62E0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2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65136">
      <w:bodyDiv w:val="1"/>
      <w:marLeft w:val="0"/>
      <w:marRight w:val="0"/>
      <w:marTop w:val="0"/>
      <w:marBottom w:val="0"/>
      <w:divBdr>
        <w:top w:val="none" w:sz="0" w:space="0" w:color="auto"/>
        <w:left w:val="none" w:sz="0" w:space="0" w:color="auto"/>
        <w:bottom w:val="none" w:sz="0" w:space="0" w:color="auto"/>
        <w:right w:val="none" w:sz="0" w:space="0" w:color="auto"/>
      </w:divBdr>
    </w:div>
    <w:div w:id="504781018">
      <w:bodyDiv w:val="1"/>
      <w:marLeft w:val="0"/>
      <w:marRight w:val="0"/>
      <w:marTop w:val="0"/>
      <w:marBottom w:val="0"/>
      <w:divBdr>
        <w:top w:val="none" w:sz="0" w:space="0" w:color="auto"/>
        <w:left w:val="none" w:sz="0" w:space="0" w:color="auto"/>
        <w:bottom w:val="none" w:sz="0" w:space="0" w:color="auto"/>
        <w:right w:val="none" w:sz="0" w:space="0" w:color="auto"/>
      </w:divBdr>
    </w:div>
    <w:div w:id="600994090">
      <w:bodyDiv w:val="1"/>
      <w:marLeft w:val="0"/>
      <w:marRight w:val="0"/>
      <w:marTop w:val="0"/>
      <w:marBottom w:val="0"/>
      <w:divBdr>
        <w:top w:val="none" w:sz="0" w:space="0" w:color="auto"/>
        <w:left w:val="none" w:sz="0" w:space="0" w:color="auto"/>
        <w:bottom w:val="none" w:sz="0" w:space="0" w:color="auto"/>
        <w:right w:val="none" w:sz="0" w:space="0" w:color="auto"/>
      </w:divBdr>
      <w:divsChild>
        <w:div w:id="1402756914">
          <w:marLeft w:val="0"/>
          <w:marRight w:val="0"/>
          <w:marTop w:val="0"/>
          <w:marBottom w:val="0"/>
          <w:divBdr>
            <w:top w:val="none" w:sz="0" w:space="0" w:color="auto"/>
            <w:left w:val="none" w:sz="0" w:space="0" w:color="auto"/>
            <w:bottom w:val="none" w:sz="0" w:space="0" w:color="auto"/>
            <w:right w:val="none" w:sz="0" w:space="0" w:color="auto"/>
          </w:divBdr>
          <w:divsChild>
            <w:div w:id="362945093">
              <w:marLeft w:val="0"/>
              <w:marRight w:val="0"/>
              <w:marTop w:val="0"/>
              <w:marBottom w:val="0"/>
              <w:divBdr>
                <w:top w:val="none" w:sz="0" w:space="0" w:color="auto"/>
                <w:left w:val="none" w:sz="0" w:space="0" w:color="auto"/>
                <w:bottom w:val="none" w:sz="0" w:space="0" w:color="auto"/>
                <w:right w:val="none" w:sz="0" w:space="0" w:color="auto"/>
              </w:divBdr>
              <w:divsChild>
                <w:div w:id="2102408173">
                  <w:marLeft w:val="0"/>
                  <w:marRight w:val="0"/>
                  <w:marTop w:val="0"/>
                  <w:marBottom w:val="0"/>
                  <w:divBdr>
                    <w:top w:val="none" w:sz="0" w:space="0" w:color="auto"/>
                    <w:left w:val="none" w:sz="0" w:space="0" w:color="auto"/>
                    <w:bottom w:val="none" w:sz="0" w:space="0" w:color="auto"/>
                    <w:right w:val="none" w:sz="0" w:space="0" w:color="auto"/>
                  </w:divBdr>
                  <w:divsChild>
                    <w:div w:id="25983772">
                      <w:marLeft w:val="0"/>
                      <w:marRight w:val="0"/>
                      <w:marTop w:val="0"/>
                      <w:marBottom w:val="0"/>
                      <w:divBdr>
                        <w:top w:val="none" w:sz="0" w:space="0" w:color="auto"/>
                        <w:left w:val="none" w:sz="0" w:space="0" w:color="auto"/>
                        <w:bottom w:val="none" w:sz="0" w:space="0" w:color="auto"/>
                        <w:right w:val="none" w:sz="0" w:space="0" w:color="auto"/>
                      </w:divBdr>
                      <w:divsChild>
                        <w:div w:id="2045667919">
                          <w:marLeft w:val="0"/>
                          <w:marRight w:val="0"/>
                          <w:marTop w:val="0"/>
                          <w:marBottom w:val="0"/>
                          <w:divBdr>
                            <w:top w:val="none" w:sz="0" w:space="0" w:color="auto"/>
                            <w:left w:val="none" w:sz="0" w:space="0" w:color="auto"/>
                            <w:bottom w:val="none" w:sz="0" w:space="0" w:color="auto"/>
                            <w:right w:val="none" w:sz="0" w:space="0" w:color="auto"/>
                          </w:divBdr>
                          <w:divsChild>
                            <w:div w:id="1636056465">
                              <w:marLeft w:val="0"/>
                              <w:marRight w:val="0"/>
                              <w:marTop w:val="0"/>
                              <w:marBottom w:val="0"/>
                              <w:divBdr>
                                <w:top w:val="none" w:sz="0" w:space="0" w:color="auto"/>
                                <w:left w:val="none" w:sz="0" w:space="0" w:color="auto"/>
                                <w:bottom w:val="none" w:sz="0" w:space="0" w:color="auto"/>
                                <w:right w:val="none" w:sz="0" w:space="0" w:color="auto"/>
                              </w:divBdr>
                              <w:divsChild>
                                <w:div w:id="1210269032">
                                  <w:marLeft w:val="0"/>
                                  <w:marRight w:val="0"/>
                                  <w:marTop w:val="0"/>
                                  <w:marBottom w:val="0"/>
                                  <w:divBdr>
                                    <w:top w:val="none" w:sz="0" w:space="0" w:color="auto"/>
                                    <w:left w:val="none" w:sz="0" w:space="0" w:color="auto"/>
                                    <w:bottom w:val="none" w:sz="0" w:space="0" w:color="auto"/>
                                    <w:right w:val="none" w:sz="0" w:space="0" w:color="auto"/>
                                  </w:divBdr>
                                  <w:divsChild>
                                    <w:div w:id="16002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091277">
      <w:bodyDiv w:val="1"/>
      <w:marLeft w:val="0"/>
      <w:marRight w:val="0"/>
      <w:marTop w:val="0"/>
      <w:marBottom w:val="0"/>
      <w:divBdr>
        <w:top w:val="none" w:sz="0" w:space="0" w:color="auto"/>
        <w:left w:val="none" w:sz="0" w:space="0" w:color="auto"/>
        <w:bottom w:val="none" w:sz="0" w:space="0" w:color="auto"/>
        <w:right w:val="none" w:sz="0" w:space="0" w:color="auto"/>
      </w:divBdr>
    </w:div>
    <w:div w:id="773091425">
      <w:bodyDiv w:val="1"/>
      <w:marLeft w:val="0"/>
      <w:marRight w:val="0"/>
      <w:marTop w:val="0"/>
      <w:marBottom w:val="0"/>
      <w:divBdr>
        <w:top w:val="none" w:sz="0" w:space="0" w:color="auto"/>
        <w:left w:val="none" w:sz="0" w:space="0" w:color="auto"/>
        <w:bottom w:val="none" w:sz="0" w:space="0" w:color="auto"/>
        <w:right w:val="none" w:sz="0" w:space="0" w:color="auto"/>
      </w:divBdr>
    </w:div>
    <w:div w:id="865483470">
      <w:bodyDiv w:val="1"/>
      <w:marLeft w:val="0"/>
      <w:marRight w:val="0"/>
      <w:marTop w:val="0"/>
      <w:marBottom w:val="0"/>
      <w:divBdr>
        <w:top w:val="none" w:sz="0" w:space="0" w:color="auto"/>
        <w:left w:val="none" w:sz="0" w:space="0" w:color="auto"/>
        <w:bottom w:val="none" w:sz="0" w:space="0" w:color="auto"/>
        <w:right w:val="none" w:sz="0" w:space="0" w:color="auto"/>
      </w:divBdr>
    </w:div>
    <w:div w:id="877933961">
      <w:bodyDiv w:val="1"/>
      <w:marLeft w:val="0"/>
      <w:marRight w:val="0"/>
      <w:marTop w:val="0"/>
      <w:marBottom w:val="0"/>
      <w:divBdr>
        <w:top w:val="none" w:sz="0" w:space="0" w:color="auto"/>
        <w:left w:val="none" w:sz="0" w:space="0" w:color="auto"/>
        <w:bottom w:val="none" w:sz="0" w:space="0" w:color="auto"/>
        <w:right w:val="none" w:sz="0" w:space="0" w:color="auto"/>
      </w:divBdr>
    </w:div>
    <w:div w:id="890119840">
      <w:bodyDiv w:val="1"/>
      <w:marLeft w:val="0"/>
      <w:marRight w:val="0"/>
      <w:marTop w:val="0"/>
      <w:marBottom w:val="0"/>
      <w:divBdr>
        <w:top w:val="none" w:sz="0" w:space="0" w:color="auto"/>
        <w:left w:val="none" w:sz="0" w:space="0" w:color="auto"/>
        <w:bottom w:val="none" w:sz="0" w:space="0" w:color="auto"/>
        <w:right w:val="none" w:sz="0" w:space="0" w:color="auto"/>
      </w:divBdr>
    </w:div>
    <w:div w:id="988248200">
      <w:bodyDiv w:val="1"/>
      <w:marLeft w:val="0"/>
      <w:marRight w:val="0"/>
      <w:marTop w:val="0"/>
      <w:marBottom w:val="0"/>
      <w:divBdr>
        <w:top w:val="none" w:sz="0" w:space="0" w:color="auto"/>
        <w:left w:val="none" w:sz="0" w:space="0" w:color="auto"/>
        <w:bottom w:val="none" w:sz="0" w:space="0" w:color="auto"/>
        <w:right w:val="none" w:sz="0" w:space="0" w:color="auto"/>
      </w:divBdr>
    </w:div>
    <w:div w:id="1056509465">
      <w:bodyDiv w:val="1"/>
      <w:marLeft w:val="0"/>
      <w:marRight w:val="0"/>
      <w:marTop w:val="0"/>
      <w:marBottom w:val="0"/>
      <w:divBdr>
        <w:top w:val="none" w:sz="0" w:space="0" w:color="auto"/>
        <w:left w:val="none" w:sz="0" w:space="0" w:color="auto"/>
        <w:bottom w:val="none" w:sz="0" w:space="0" w:color="auto"/>
        <w:right w:val="none" w:sz="0" w:space="0" w:color="auto"/>
      </w:divBdr>
    </w:div>
    <w:div w:id="1349865805">
      <w:bodyDiv w:val="1"/>
      <w:marLeft w:val="0"/>
      <w:marRight w:val="0"/>
      <w:marTop w:val="0"/>
      <w:marBottom w:val="0"/>
      <w:divBdr>
        <w:top w:val="none" w:sz="0" w:space="0" w:color="auto"/>
        <w:left w:val="none" w:sz="0" w:space="0" w:color="auto"/>
        <w:bottom w:val="none" w:sz="0" w:space="0" w:color="auto"/>
        <w:right w:val="none" w:sz="0" w:space="0" w:color="auto"/>
      </w:divBdr>
    </w:div>
    <w:div w:id="1513488896">
      <w:bodyDiv w:val="1"/>
      <w:marLeft w:val="0"/>
      <w:marRight w:val="0"/>
      <w:marTop w:val="0"/>
      <w:marBottom w:val="0"/>
      <w:divBdr>
        <w:top w:val="none" w:sz="0" w:space="0" w:color="auto"/>
        <w:left w:val="none" w:sz="0" w:space="0" w:color="auto"/>
        <w:bottom w:val="none" w:sz="0" w:space="0" w:color="auto"/>
        <w:right w:val="none" w:sz="0" w:space="0" w:color="auto"/>
      </w:divBdr>
    </w:div>
    <w:div w:id="1569464514">
      <w:bodyDiv w:val="1"/>
      <w:marLeft w:val="0"/>
      <w:marRight w:val="0"/>
      <w:marTop w:val="0"/>
      <w:marBottom w:val="0"/>
      <w:divBdr>
        <w:top w:val="none" w:sz="0" w:space="0" w:color="auto"/>
        <w:left w:val="none" w:sz="0" w:space="0" w:color="auto"/>
        <w:bottom w:val="none" w:sz="0" w:space="0" w:color="auto"/>
        <w:right w:val="none" w:sz="0" w:space="0" w:color="auto"/>
      </w:divBdr>
    </w:div>
    <w:div w:id="1673341056">
      <w:bodyDiv w:val="1"/>
      <w:marLeft w:val="0"/>
      <w:marRight w:val="0"/>
      <w:marTop w:val="0"/>
      <w:marBottom w:val="0"/>
      <w:divBdr>
        <w:top w:val="none" w:sz="0" w:space="0" w:color="auto"/>
        <w:left w:val="none" w:sz="0" w:space="0" w:color="auto"/>
        <w:bottom w:val="none" w:sz="0" w:space="0" w:color="auto"/>
        <w:right w:val="none" w:sz="0" w:space="0" w:color="auto"/>
      </w:divBdr>
    </w:div>
    <w:div w:id="1782794105">
      <w:bodyDiv w:val="1"/>
      <w:marLeft w:val="0"/>
      <w:marRight w:val="0"/>
      <w:marTop w:val="0"/>
      <w:marBottom w:val="0"/>
      <w:divBdr>
        <w:top w:val="none" w:sz="0" w:space="0" w:color="auto"/>
        <w:left w:val="none" w:sz="0" w:space="0" w:color="auto"/>
        <w:bottom w:val="none" w:sz="0" w:space="0" w:color="auto"/>
        <w:right w:val="none" w:sz="0" w:space="0" w:color="auto"/>
      </w:divBdr>
      <w:divsChild>
        <w:div w:id="1522012984">
          <w:marLeft w:val="0"/>
          <w:marRight w:val="0"/>
          <w:marTop w:val="0"/>
          <w:marBottom w:val="0"/>
          <w:divBdr>
            <w:top w:val="none" w:sz="0" w:space="0" w:color="auto"/>
            <w:left w:val="none" w:sz="0" w:space="0" w:color="auto"/>
            <w:bottom w:val="none" w:sz="0" w:space="0" w:color="auto"/>
            <w:right w:val="none" w:sz="0" w:space="0" w:color="auto"/>
          </w:divBdr>
          <w:divsChild>
            <w:div w:id="690450842">
              <w:marLeft w:val="0"/>
              <w:marRight w:val="0"/>
              <w:marTop w:val="0"/>
              <w:marBottom w:val="0"/>
              <w:divBdr>
                <w:top w:val="none" w:sz="0" w:space="0" w:color="auto"/>
                <w:left w:val="none" w:sz="0" w:space="0" w:color="auto"/>
                <w:bottom w:val="none" w:sz="0" w:space="0" w:color="auto"/>
                <w:right w:val="none" w:sz="0" w:space="0" w:color="auto"/>
              </w:divBdr>
              <w:divsChild>
                <w:div w:id="2098212761">
                  <w:marLeft w:val="0"/>
                  <w:marRight w:val="0"/>
                  <w:marTop w:val="0"/>
                  <w:marBottom w:val="0"/>
                  <w:divBdr>
                    <w:top w:val="none" w:sz="0" w:space="0" w:color="auto"/>
                    <w:left w:val="none" w:sz="0" w:space="0" w:color="auto"/>
                    <w:bottom w:val="none" w:sz="0" w:space="0" w:color="auto"/>
                    <w:right w:val="none" w:sz="0" w:space="0" w:color="auto"/>
                  </w:divBdr>
                  <w:divsChild>
                    <w:div w:id="1939092240">
                      <w:marLeft w:val="0"/>
                      <w:marRight w:val="0"/>
                      <w:marTop w:val="0"/>
                      <w:marBottom w:val="0"/>
                      <w:divBdr>
                        <w:top w:val="none" w:sz="0" w:space="0" w:color="auto"/>
                        <w:left w:val="none" w:sz="0" w:space="0" w:color="auto"/>
                        <w:bottom w:val="none" w:sz="0" w:space="0" w:color="auto"/>
                        <w:right w:val="none" w:sz="0" w:space="0" w:color="auto"/>
                      </w:divBdr>
                      <w:divsChild>
                        <w:div w:id="982005036">
                          <w:marLeft w:val="0"/>
                          <w:marRight w:val="0"/>
                          <w:marTop w:val="0"/>
                          <w:marBottom w:val="0"/>
                          <w:divBdr>
                            <w:top w:val="none" w:sz="0" w:space="0" w:color="auto"/>
                            <w:left w:val="none" w:sz="0" w:space="0" w:color="auto"/>
                            <w:bottom w:val="none" w:sz="0" w:space="0" w:color="auto"/>
                            <w:right w:val="none" w:sz="0" w:space="0" w:color="auto"/>
                          </w:divBdr>
                          <w:divsChild>
                            <w:div w:id="2107114504">
                              <w:marLeft w:val="0"/>
                              <w:marRight w:val="0"/>
                              <w:marTop w:val="0"/>
                              <w:marBottom w:val="0"/>
                              <w:divBdr>
                                <w:top w:val="none" w:sz="0" w:space="0" w:color="auto"/>
                                <w:left w:val="none" w:sz="0" w:space="0" w:color="auto"/>
                                <w:bottom w:val="none" w:sz="0" w:space="0" w:color="auto"/>
                                <w:right w:val="none" w:sz="0" w:space="0" w:color="auto"/>
                              </w:divBdr>
                              <w:divsChild>
                                <w:div w:id="644510708">
                                  <w:marLeft w:val="0"/>
                                  <w:marRight w:val="0"/>
                                  <w:marTop w:val="0"/>
                                  <w:marBottom w:val="0"/>
                                  <w:divBdr>
                                    <w:top w:val="none" w:sz="0" w:space="0" w:color="auto"/>
                                    <w:left w:val="none" w:sz="0" w:space="0" w:color="auto"/>
                                    <w:bottom w:val="none" w:sz="0" w:space="0" w:color="auto"/>
                                    <w:right w:val="none" w:sz="0" w:space="0" w:color="auto"/>
                                  </w:divBdr>
                                  <w:divsChild>
                                    <w:div w:id="11160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161360">
      <w:bodyDiv w:val="1"/>
      <w:marLeft w:val="0"/>
      <w:marRight w:val="0"/>
      <w:marTop w:val="0"/>
      <w:marBottom w:val="0"/>
      <w:divBdr>
        <w:top w:val="none" w:sz="0" w:space="0" w:color="auto"/>
        <w:left w:val="none" w:sz="0" w:space="0" w:color="auto"/>
        <w:bottom w:val="none" w:sz="0" w:space="0" w:color="auto"/>
        <w:right w:val="none" w:sz="0" w:space="0" w:color="auto"/>
      </w:divBdr>
    </w:div>
    <w:div w:id="1974561113">
      <w:bodyDiv w:val="1"/>
      <w:marLeft w:val="0"/>
      <w:marRight w:val="0"/>
      <w:marTop w:val="0"/>
      <w:marBottom w:val="0"/>
      <w:divBdr>
        <w:top w:val="none" w:sz="0" w:space="0" w:color="auto"/>
        <w:left w:val="none" w:sz="0" w:space="0" w:color="auto"/>
        <w:bottom w:val="none" w:sz="0" w:space="0" w:color="auto"/>
        <w:right w:val="none" w:sz="0" w:space="0" w:color="auto"/>
      </w:divBdr>
      <w:divsChild>
        <w:div w:id="1813447940">
          <w:marLeft w:val="0"/>
          <w:marRight w:val="0"/>
          <w:marTop w:val="0"/>
          <w:marBottom w:val="0"/>
          <w:divBdr>
            <w:top w:val="none" w:sz="0" w:space="0" w:color="auto"/>
            <w:left w:val="none" w:sz="0" w:space="0" w:color="auto"/>
            <w:bottom w:val="none" w:sz="0" w:space="0" w:color="auto"/>
            <w:right w:val="none" w:sz="0" w:space="0" w:color="auto"/>
          </w:divBdr>
          <w:divsChild>
            <w:div w:id="1836188281">
              <w:marLeft w:val="0"/>
              <w:marRight w:val="0"/>
              <w:marTop w:val="0"/>
              <w:marBottom w:val="0"/>
              <w:divBdr>
                <w:top w:val="none" w:sz="0" w:space="0" w:color="auto"/>
                <w:left w:val="none" w:sz="0" w:space="0" w:color="auto"/>
                <w:bottom w:val="none" w:sz="0" w:space="0" w:color="auto"/>
                <w:right w:val="none" w:sz="0" w:space="0" w:color="auto"/>
              </w:divBdr>
              <w:divsChild>
                <w:div w:id="1977222941">
                  <w:marLeft w:val="0"/>
                  <w:marRight w:val="0"/>
                  <w:marTop w:val="0"/>
                  <w:marBottom w:val="0"/>
                  <w:divBdr>
                    <w:top w:val="none" w:sz="0" w:space="0" w:color="auto"/>
                    <w:left w:val="none" w:sz="0" w:space="0" w:color="auto"/>
                    <w:bottom w:val="none" w:sz="0" w:space="0" w:color="auto"/>
                    <w:right w:val="none" w:sz="0" w:space="0" w:color="auto"/>
                  </w:divBdr>
                  <w:divsChild>
                    <w:div w:id="1050691015">
                      <w:marLeft w:val="0"/>
                      <w:marRight w:val="0"/>
                      <w:marTop w:val="0"/>
                      <w:marBottom w:val="0"/>
                      <w:divBdr>
                        <w:top w:val="none" w:sz="0" w:space="0" w:color="auto"/>
                        <w:left w:val="none" w:sz="0" w:space="0" w:color="auto"/>
                        <w:bottom w:val="none" w:sz="0" w:space="0" w:color="auto"/>
                        <w:right w:val="none" w:sz="0" w:space="0" w:color="auto"/>
                      </w:divBdr>
                      <w:divsChild>
                        <w:div w:id="1426145172">
                          <w:marLeft w:val="0"/>
                          <w:marRight w:val="0"/>
                          <w:marTop w:val="0"/>
                          <w:marBottom w:val="0"/>
                          <w:divBdr>
                            <w:top w:val="none" w:sz="0" w:space="0" w:color="auto"/>
                            <w:left w:val="none" w:sz="0" w:space="0" w:color="auto"/>
                            <w:bottom w:val="none" w:sz="0" w:space="0" w:color="auto"/>
                            <w:right w:val="none" w:sz="0" w:space="0" w:color="auto"/>
                          </w:divBdr>
                          <w:divsChild>
                            <w:div w:id="54472346">
                              <w:marLeft w:val="0"/>
                              <w:marRight w:val="0"/>
                              <w:marTop w:val="0"/>
                              <w:marBottom w:val="0"/>
                              <w:divBdr>
                                <w:top w:val="none" w:sz="0" w:space="0" w:color="auto"/>
                                <w:left w:val="none" w:sz="0" w:space="0" w:color="auto"/>
                                <w:bottom w:val="none" w:sz="0" w:space="0" w:color="auto"/>
                                <w:right w:val="none" w:sz="0" w:space="0" w:color="auto"/>
                              </w:divBdr>
                              <w:divsChild>
                                <w:div w:id="757795857">
                                  <w:marLeft w:val="0"/>
                                  <w:marRight w:val="0"/>
                                  <w:marTop w:val="0"/>
                                  <w:marBottom w:val="0"/>
                                  <w:divBdr>
                                    <w:top w:val="none" w:sz="0" w:space="0" w:color="auto"/>
                                    <w:left w:val="none" w:sz="0" w:space="0" w:color="auto"/>
                                    <w:bottom w:val="none" w:sz="0" w:space="0" w:color="auto"/>
                                    <w:right w:val="none" w:sz="0" w:space="0" w:color="auto"/>
                                  </w:divBdr>
                                  <w:divsChild>
                                    <w:div w:id="174287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g-link.byteoversea.com/?target=https%3A%2F%2Fwww.gov.br%2Fanvisa&amp;scene=im&amp;aid=495671&amp;lang=pt-BR" TargetMode="External"/><Relationship Id="rId13" Type="http://schemas.openxmlformats.org/officeDocument/2006/relationships/hyperlink" Target="https://sg-link.byteoversea.com/?target=https%3A%2F%2Fwww.ismp-brasil.org&amp;scene=im&amp;aid=495671&amp;lang=pt-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g-link.byteoversea.com/?target=https%3A%2F%2Fwww.nap.edu&amp;scene=im&amp;aid=495671&amp;lang=pt-BR" TargetMode="External"/><Relationship Id="rId17" Type="http://schemas.openxmlformats.org/officeDocument/2006/relationships/hyperlink" Target="https://sg-link.byteoversea.com/?target=https%3A%2F%2Fwww.grupogen.com.br&amp;scene=im&amp;aid=495671&amp;lang=pt-BR" TargetMode="External"/><Relationship Id="rId2" Type="http://schemas.openxmlformats.org/officeDocument/2006/relationships/numbering" Target="numbering.xml"/><Relationship Id="rId16" Type="http://schemas.openxmlformats.org/officeDocument/2006/relationships/hyperlink" Target="https://sg-link.byteoversea.com/?target=https%3A%2F%2Fwww.routledge.com&amp;scene=im&amp;aid=495671&amp;lang=pt-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g-link.byteoversea.com/?target=http%3A%2F%2Fwww.cofen.gov.br&amp;scene=im&amp;aid=495671&amp;lang=pt-BR" TargetMode="External"/><Relationship Id="rId5" Type="http://schemas.openxmlformats.org/officeDocument/2006/relationships/webSettings" Target="webSettings.xml"/><Relationship Id="rId15" Type="http://schemas.openxmlformats.org/officeDocument/2006/relationships/hyperlink" Target="https://sg-link.byteoversea.com/?target=https%3A%2F%2Fwww.cambridge.org&amp;scene=im&amp;aid=495671&amp;lang=pt-BR" TargetMode="External"/><Relationship Id="rId10" Type="http://schemas.openxmlformats.org/officeDocument/2006/relationships/hyperlink" Target="https://sg-link.byteoversea.com/?target=https%3A%2F%2Fwww.elsevier.com.br&amp;scene=im&amp;aid=495671&amp;lang=pt-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g-link.byteoversea.com/?target=https%3A%2F%2Fwww.gov.br%2Fsaude&amp;scene=im&amp;aid=495671&amp;lang=pt-BR" TargetMode="External"/><Relationship Id="rId14" Type="http://schemas.openxmlformats.org/officeDocument/2006/relationships/hyperlink" Target="https://sg-link.byteoversea.com/?target=https%3A%2F%2Fwww.who.int&amp;scene=im&amp;aid=495671&amp;lang=pt-BR"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lucasjoaquimcn@yahoo.com" TargetMode="External"/><Relationship Id="rId2" Type="http://schemas.openxmlformats.org/officeDocument/2006/relationships/hyperlink" Target="mailto:benedusep@gmail.com" TargetMode="External"/><Relationship Id="rId1" Type="http://schemas.openxmlformats.org/officeDocument/2006/relationships/hyperlink" Target="mailto:-jacamorin@hotmail.com" TargetMode="External"/><Relationship Id="rId5" Type="http://schemas.openxmlformats.org/officeDocument/2006/relationships/hyperlink" Target="mailto:larissa.viel@hotmail.com" TargetMode="External"/><Relationship Id="rId4" Type="http://schemas.openxmlformats.org/officeDocument/2006/relationships/hyperlink" Target="mailto:-andressast92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108F8-8141-4293-84D3-3F75AB6D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6251</Words>
  <Characters>33756</Characters>
  <Application>Microsoft Office Word</Application>
  <DocSecurity>0</DocSecurity>
  <Lines>281</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e095bibli - Etec Pedro D Arcadia Neto</cp:lastModifiedBy>
  <cp:revision>4</cp:revision>
  <dcterms:created xsi:type="dcterms:W3CDTF">2026-06-19T20:59:00Z</dcterms:created>
  <dcterms:modified xsi:type="dcterms:W3CDTF">2026-07-30T15:10:00Z</dcterms:modified>
</cp:coreProperties>
</file>